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F746" w14:textId="207F4607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5D5683"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Default="00DB6187" w:rsidP="00DB6187">
      <w:r>
        <w:t>(</w:t>
      </w:r>
      <w:r w:rsidR="00AA4657" w:rsidRPr="00BC5FC8">
        <w:rPr>
          <w:b/>
          <w:bCs/>
        </w:rPr>
        <w:t>Organizator</w:t>
      </w:r>
      <w:r>
        <w:t>)</w:t>
      </w:r>
    </w:p>
    <w:p w14:paraId="4676D803" w14:textId="1DDB4CA8" w:rsidR="00DB6187" w:rsidRPr="005D5683" w:rsidRDefault="00703CB1" w:rsidP="00DB6187">
      <w:r w:rsidRPr="000B7EEE">
        <w:t>Znak sprawy</w:t>
      </w:r>
      <w:r w:rsidRPr="005D5683">
        <w:t xml:space="preserve">: </w:t>
      </w:r>
      <w:r w:rsidR="0034090A" w:rsidRPr="005D5683">
        <w:t>KR/CZMIPW/</w:t>
      </w:r>
      <w:r w:rsidR="00713BDA" w:rsidRPr="005D5683">
        <w:t>2</w:t>
      </w:r>
      <w:r w:rsidR="0034090A" w:rsidRPr="005D5683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7A68ABEC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5D5683">
        <w:rPr>
          <w:rFonts w:cs="Calibri"/>
        </w:rPr>
        <w:t>współfinansowaniu ze środków UE</w:t>
      </w:r>
      <w:r w:rsidR="008E29B5" w:rsidRPr="005D5683">
        <w:rPr>
          <w:rStyle w:val="Odwoanieprzypisudolnego"/>
          <w:shd w:val="clear" w:color="auto" w:fill="FFFFFF"/>
        </w:rPr>
        <w:footnoteReference w:id="1"/>
      </w:r>
      <w:r w:rsidR="008E29B5" w:rsidRPr="005D5683">
        <w:rPr>
          <w:shd w:val="clear" w:color="auto" w:fill="FFFFFF"/>
        </w:rPr>
        <w:t> </w:t>
      </w:r>
      <w:r w:rsidR="008E29B5" w:rsidRPr="005D5683">
        <w:rPr>
          <w:rFonts w:cs="Calibri"/>
        </w:rPr>
        <w:t xml:space="preserve"> projekt pn</w:t>
      </w:r>
      <w:r w:rsidR="008E29B5" w:rsidRPr="005D5683">
        <w:rPr>
          <w:rFonts w:cs="Calibri"/>
          <w:i/>
          <w:iCs/>
        </w:rPr>
        <w:t xml:space="preserve">. </w:t>
      </w:r>
      <w:r w:rsidR="008E29B5" w:rsidRPr="005D5683">
        <w:rPr>
          <w:i/>
          <w:iCs/>
          <w:shd w:val="clear" w:color="auto" w:fill="FFFFFF"/>
        </w:rPr>
        <w:t>"</w:t>
      </w:r>
      <w:r w:rsidRPr="005D5683">
        <w:rPr>
          <w:b/>
          <w:i/>
        </w:rPr>
        <w:t>Centrum Zaawansowanych Materiałów i Inżynierii Procesów Wytwarzania (CZMIPW)</w:t>
      </w:r>
      <w:r w:rsidRPr="005D5683">
        <w:t xml:space="preserve">” </w:t>
      </w:r>
      <w:r w:rsidR="008E29B5" w:rsidRPr="005D5683">
        <w:rPr>
          <w:shd w:val="clear" w:color="auto" w:fill="FFFFFF"/>
        </w:rPr>
        <w:t>zainteresowany jest nabyciem urządzenia</w:t>
      </w:r>
      <w:r w:rsidR="000C2444" w:rsidRPr="005D5683">
        <w:rPr>
          <w:shd w:val="clear" w:color="auto" w:fill="FFFFFF"/>
        </w:rPr>
        <w:t xml:space="preserve"> </w:t>
      </w:r>
      <w:r w:rsidR="0014478B" w:rsidRPr="005D5683">
        <w:rPr>
          <w:b/>
          <w:bCs/>
          <w:shd w:val="clear" w:color="auto" w:fill="FFFFFF"/>
        </w:rPr>
        <w:t>spektrometr MALDI-TOF/TOF</w:t>
      </w:r>
      <w:r w:rsidR="009E5E90" w:rsidRPr="005D5683">
        <w:rPr>
          <w:b/>
          <w:bCs/>
          <w:shd w:val="clear" w:color="auto" w:fill="FFFFFF"/>
        </w:rPr>
        <w:t xml:space="preserve"> </w:t>
      </w:r>
      <w:r w:rsidR="00755DE5" w:rsidRPr="005D5683">
        <w:rPr>
          <w:shd w:val="clear" w:color="auto" w:fill="FFFFFF"/>
        </w:rPr>
        <w:t xml:space="preserve">(dalej </w:t>
      </w:r>
      <w:r>
        <w:rPr>
          <w:color w:val="000000"/>
          <w:shd w:val="clear" w:color="auto" w:fill="FFFFFF"/>
        </w:rPr>
        <w:t xml:space="preserve">całość 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1591A13C" w:rsidR="005B1626" w:rsidRPr="005B1626" w:rsidRDefault="00A72C9E" w:rsidP="009E5E90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5D5683">
              <w:rPr>
                <w:shd w:val="clear" w:color="auto" w:fill="FFFFFF"/>
              </w:rPr>
              <w:t xml:space="preserve">Spektrometr MALDI-TOF/TOF powinien być przeznaczony do badania związków średnio- i wysokocząsteczkowych, zwłaszcza do analiz nielotnych, stałych i ciekłych </w:t>
            </w:r>
            <w:proofErr w:type="spellStart"/>
            <w:r w:rsidRPr="005D5683">
              <w:rPr>
                <w:shd w:val="clear" w:color="auto" w:fill="FFFFFF"/>
              </w:rPr>
              <w:t>analitów</w:t>
            </w:r>
            <w:proofErr w:type="spellEnd"/>
            <w:r w:rsidRPr="005D5683">
              <w:rPr>
                <w:shd w:val="clear" w:color="auto" w:fill="FFFFFF"/>
              </w:rPr>
              <w:t xml:space="preserve"> o dużych rozmiarach, takich jak </w:t>
            </w:r>
            <w:proofErr w:type="spellStart"/>
            <w:r w:rsidRPr="005D5683">
              <w:rPr>
                <w:shd w:val="clear" w:color="auto" w:fill="FFFFFF"/>
              </w:rPr>
              <w:t>biocząsteczki</w:t>
            </w:r>
            <w:proofErr w:type="spellEnd"/>
            <w:r w:rsidRPr="005D5683">
              <w:rPr>
                <w:shd w:val="clear" w:color="auto" w:fill="FFFFFF"/>
              </w:rPr>
              <w:t xml:space="preserve"> (białka, peptydy, cukry) oraz syntetyczne polimery i </w:t>
            </w:r>
            <w:proofErr w:type="spellStart"/>
            <w:r w:rsidRPr="005D5683">
              <w:rPr>
                <w:shd w:val="clear" w:color="auto" w:fill="FFFFFF"/>
              </w:rPr>
              <w:t>dendrymery</w:t>
            </w:r>
            <w:proofErr w:type="spellEnd"/>
            <w:r w:rsidRPr="005D5683">
              <w:rPr>
                <w:shd w:val="clear" w:color="auto" w:fill="FFFFFF"/>
              </w:rPr>
              <w:t xml:space="preserve">. Urządzenie powinno umożliwiać wyznaczenie podstawowych parametrów masowych polimerów, takich jak: średnia masa cząsteczkowa, rozkład masy cząsteczkowej, dyspersyjność polimeru itp. Dodatkowo powinna być możliwa analiza składu kopolimerów, a także oznaczanie grup końcowych polimeru. 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26B7408A">
        <w:tc>
          <w:tcPr>
            <w:tcW w:w="8641" w:type="dxa"/>
          </w:tcPr>
          <w:p w14:paraId="5F96EEEB" w14:textId="5CD1E600" w:rsidR="00625255" w:rsidRPr="005D5683" w:rsidRDefault="00625255" w:rsidP="00625255">
            <w:pPr>
              <w:pStyle w:val="Akapitzlist"/>
              <w:numPr>
                <w:ilvl w:val="0"/>
                <w:numId w:val="23"/>
              </w:numPr>
              <w:spacing w:before="120"/>
              <w:jc w:val="both"/>
              <w:rPr>
                <w:shd w:val="clear" w:color="auto" w:fill="FFFFFF"/>
              </w:rPr>
            </w:pPr>
            <w:r w:rsidRPr="005D5683">
              <w:rPr>
                <w:shd w:val="clear" w:color="auto" w:fill="FFFFFF"/>
              </w:rPr>
              <w:t>urządzenie działające w trybie liniowym oraz z odbiciem</w:t>
            </w:r>
            <w:r w:rsidR="009339E0" w:rsidRPr="005D5683">
              <w:rPr>
                <w:shd w:val="clear" w:color="auto" w:fill="FFFFFF"/>
              </w:rPr>
              <w:t>, z możliwością p</w:t>
            </w:r>
            <w:r w:rsidRPr="005D5683">
              <w:rPr>
                <w:shd w:val="clear" w:color="auto" w:fill="FFFFFF"/>
              </w:rPr>
              <w:t>rowadz</w:t>
            </w:r>
            <w:r w:rsidR="009339E0" w:rsidRPr="005D5683">
              <w:rPr>
                <w:shd w:val="clear" w:color="auto" w:fill="FFFFFF"/>
              </w:rPr>
              <w:t>e</w:t>
            </w:r>
            <w:r w:rsidRPr="005D5683">
              <w:rPr>
                <w:shd w:val="clear" w:color="auto" w:fill="FFFFFF"/>
              </w:rPr>
              <w:t>ni</w:t>
            </w:r>
            <w:r w:rsidR="009339E0" w:rsidRPr="005D5683">
              <w:rPr>
                <w:shd w:val="clear" w:color="auto" w:fill="FFFFFF"/>
              </w:rPr>
              <w:t>a pomiarów</w:t>
            </w:r>
            <w:r w:rsidRPr="005D5683">
              <w:rPr>
                <w:shd w:val="clear" w:color="auto" w:fill="FFFFFF"/>
              </w:rPr>
              <w:t xml:space="preserve"> w trybie TOF/TOF, wyposażone w komorę zderzeń CID umożliwiającą wysokoenergetyczną fragmentację prekursorów</w:t>
            </w:r>
            <w:r w:rsidR="009339E0" w:rsidRPr="005D5683">
              <w:rPr>
                <w:shd w:val="clear" w:color="auto" w:fill="FFFFFF"/>
              </w:rPr>
              <w:t>;</w:t>
            </w:r>
          </w:p>
          <w:p w14:paraId="6811FE61" w14:textId="3AA1E1CE" w:rsidR="009339E0" w:rsidRPr="005D5683" w:rsidRDefault="009339E0" w:rsidP="7FCC3650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rFonts w:eastAsiaTheme="minorEastAsia"/>
                <w:shd w:val="clear" w:color="auto" w:fill="FFFFFF"/>
              </w:rPr>
            </w:pPr>
            <w:r w:rsidRPr="005D5683">
              <w:rPr>
                <w:shd w:val="clear" w:color="auto" w:fill="FFFFFF"/>
              </w:rPr>
              <w:t>źródło jonów MALDI działające w wysokiej próżni ze zintegrowaną funkcją samooczyszczania, wyposażone</w:t>
            </w:r>
            <w:r w:rsidR="62924E1A" w:rsidRPr="005D5683">
              <w:rPr>
                <w:shd w:val="clear" w:color="auto" w:fill="FFFFFF"/>
              </w:rPr>
              <w:t xml:space="preserve"> w laser</w:t>
            </w:r>
            <w:r w:rsidRPr="005D5683">
              <w:rPr>
                <w:shd w:val="clear" w:color="auto" w:fill="FFFFFF"/>
              </w:rPr>
              <w:t xml:space="preserve"> o energii co najmniej 100 µJ/puls; </w:t>
            </w:r>
          </w:p>
          <w:p w14:paraId="7339043A" w14:textId="77777777" w:rsidR="009339E0" w:rsidRPr="005D5683" w:rsidRDefault="009339E0" w:rsidP="7FCC3650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5D5683">
              <w:rPr>
                <w:shd w:val="clear" w:color="auto" w:fill="FFFFFF"/>
              </w:rPr>
              <w:t>tryb liniowy TOF: (a) rozdzielczość masowa min. 1100 FWHM  (b) czułość: S/N ≥ 100:1 (przy 1000 strzałów);</w:t>
            </w:r>
          </w:p>
          <w:p w14:paraId="4E65EA34" w14:textId="22272C37" w:rsidR="001A6300" w:rsidRPr="005D5683" w:rsidRDefault="009339E0" w:rsidP="001A6300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5D5683">
              <w:rPr>
                <w:shd w:val="clear" w:color="auto" w:fill="FFFFFF"/>
              </w:rPr>
              <w:t xml:space="preserve">tryb TOF z </w:t>
            </w:r>
            <w:r w:rsidR="001A6300" w:rsidRPr="005D5683">
              <w:rPr>
                <w:shd w:val="clear" w:color="auto" w:fill="FFFFFF"/>
              </w:rPr>
              <w:t>reflektorem</w:t>
            </w:r>
            <w:r w:rsidRPr="005D5683">
              <w:rPr>
                <w:shd w:val="clear" w:color="auto" w:fill="FFFFFF"/>
              </w:rPr>
              <w:t xml:space="preserve">: (a) rozdzielczość dla białka referencyjnego ok. 3000 m/z </w:t>
            </w:r>
            <w:r w:rsidR="001A6300" w:rsidRPr="005D5683">
              <w:rPr>
                <w:shd w:val="clear" w:color="auto" w:fill="FFFFFF"/>
              </w:rPr>
              <w:t>nie mniejsza niż</w:t>
            </w:r>
            <w:r w:rsidRPr="005D5683">
              <w:rPr>
                <w:shd w:val="clear" w:color="auto" w:fill="FFFFFF"/>
              </w:rPr>
              <w:t xml:space="preserve"> 25000 FWHM</w:t>
            </w:r>
            <w:r w:rsidR="001A6300" w:rsidRPr="005D5683">
              <w:rPr>
                <w:shd w:val="clear" w:color="auto" w:fill="FFFFFF"/>
              </w:rPr>
              <w:t xml:space="preserve">, (b) czułość S/N ≥ 100:1 dla 250 </w:t>
            </w:r>
            <w:proofErr w:type="spellStart"/>
            <w:r w:rsidR="001A6300" w:rsidRPr="005D5683">
              <w:rPr>
                <w:shd w:val="clear" w:color="auto" w:fill="FFFFFF"/>
              </w:rPr>
              <w:t>amol</w:t>
            </w:r>
            <w:proofErr w:type="spellEnd"/>
            <w:r w:rsidR="001A6300" w:rsidRPr="005D5683">
              <w:rPr>
                <w:shd w:val="clear" w:color="auto" w:fill="FFFFFF"/>
              </w:rPr>
              <w:t xml:space="preserve"> peptydów o masie ok. 1 500 m/z, </w:t>
            </w:r>
          </w:p>
          <w:p w14:paraId="4C9D62D8" w14:textId="77777777" w:rsidR="001A6300" w:rsidRPr="005D5683" w:rsidRDefault="001A6300" w:rsidP="7D8766FA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rFonts w:eastAsiaTheme="minorEastAsia"/>
                <w:shd w:val="clear" w:color="auto" w:fill="FFFFFF"/>
              </w:rPr>
            </w:pPr>
            <w:r w:rsidRPr="005D5683">
              <w:rPr>
                <w:shd w:val="clear" w:color="auto" w:fill="FFFFFF"/>
              </w:rPr>
              <w:lastRenderedPageBreak/>
              <w:t xml:space="preserve">tryb TOF/TOF: (a) rozdzielczość min. 3500 dla jonów fragmentacyjnych w zakresie mas 1000 - 1300 Da; (b) czułość: S/N min. 10:1 (2000 strzałów) dla 250 </w:t>
            </w:r>
            <w:proofErr w:type="spellStart"/>
            <w:r w:rsidRPr="005D5683">
              <w:rPr>
                <w:shd w:val="clear" w:color="auto" w:fill="FFFFFF"/>
              </w:rPr>
              <w:t>amol</w:t>
            </w:r>
            <w:proofErr w:type="spellEnd"/>
            <w:r w:rsidRPr="005D5683">
              <w:rPr>
                <w:shd w:val="clear" w:color="auto" w:fill="FFFFFF"/>
              </w:rPr>
              <w:t xml:space="preserve"> peptydów o masach z zakresu 1000 -1300 m/z; </w:t>
            </w:r>
          </w:p>
          <w:p w14:paraId="0834EEF7" w14:textId="77777777" w:rsidR="001A6300" w:rsidRPr="005D5683" w:rsidRDefault="005B1626" w:rsidP="7D8766FA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5D5683">
              <w:rPr>
                <w:shd w:val="clear" w:color="auto" w:fill="FFFFFF"/>
              </w:rPr>
              <w:t>oprogramowanie do zbierania i analizy danych</w:t>
            </w:r>
            <w:r w:rsidR="00625255" w:rsidRPr="005D5683">
              <w:rPr>
                <w:shd w:val="clear" w:color="auto" w:fill="FFFFFF"/>
              </w:rPr>
              <w:t xml:space="preserve"> (w tym oprogramowanie do analizy polimerów, </w:t>
            </w:r>
            <w:proofErr w:type="spellStart"/>
            <w:r w:rsidR="00625255" w:rsidRPr="005D5683">
              <w:rPr>
                <w:shd w:val="clear" w:color="auto" w:fill="FFFFFF"/>
              </w:rPr>
              <w:t>biomolekuł</w:t>
            </w:r>
            <w:proofErr w:type="spellEnd"/>
            <w:r w:rsidR="00625255" w:rsidRPr="005D5683">
              <w:rPr>
                <w:shd w:val="clear" w:color="auto" w:fill="FFFFFF"/>
              </w:rPr>
              <w:t xml:space="preserve"> (białka, peptydy, </w:t>
            </w:r>
            <w:proofErr w:type="spellStart"/>
            <w:r w:rsidR="00625255" w:rsidRPr="005D5683">
              <w:rPr>
                <w:shd w:val="clear" w:color="auto" w:fill="FFFFFF"/>
              </w:rPr>
              <w:t>glikany</w:t>
            </w:r>
            <w:proofErr w:type="spellEnd"/>
            <w:r w:rsidR="00625255" w:rsidRPr="005D5683">
              <w:rPr>
                <w:shd w:val="clear" w:color="auto" w:fill="FFFFFF"/>
              </w:rPr>
              <w:t xml:space="preserve"> itp.), oprogramowanie do identyfikacji białek.</w:t>
            </w:r>
          </w:p>
          <w:p w14:paraId="02802236" w14:textId="5E629D2F" w:rsidR="00625255" w:rsidRPr="00625255" w:rsidRDefault="00625255" w:rsidP="00625255">
            <w:pPr>
              <w:spacing w:before="240"/>
              <w:ind w:left="360"/>
              <w:jc w:val="both"/>
              <w:rPr>
                <w:color w:val="FF0000"/>
                <w:shd w:val="clear" w:color="auto" w:fill="FFFFFF"/>
              </w:rPr>
            </w:pP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04263132" w14:textId="2AAA6052" w:rsidR="00755DE5" w:rsidRPr="005D5683" w:rsidRDefault="00755DE5" w:rsidP="00755DE5">
            <w:pPr>
              <w:spacing w:before="240"/>
              <w:jc w:val="both"/>
            </w:pPr>
            <w:r w:rsidRPr="005D5683">
              <w:t xml:space="preserve">Urządzenie będzie użytkowane w pomieszczeniu zlokalizowanym </w:t>
            </w:r>
            <w:r w:rsidR="001617A1" w:rsidRPr="005D5683">
              <w:t xml:space="preserve">w </w:t>
            </w:r>
            <w:r w:rsidR="004873FA" w:rsidRPr="005D5683">
              <w:t>Centrum Dydaktyczno-Badawczym Nanotechnologii ZUT</w:t>
            </w:r>
            <w:r w:rsidR="0034090A" w:rsidRPr="005D5683">
              <w:t xml:space="preserve"> w Szczecinie</w:t>
            </w:r>
            <w:r w:rsidR="004873FA" w:rsidRPr="005D5683">
              <w:t xml:space="preserve">. </w:t>
            </w:r>
          </w:p>
          <w:p w14:paraId="4CA75C90" w14:textId="733C32DB" w:rsidR="001A6300" w:rsidRPr="005D5683" w:rsidRDefault="001A6300" w:rsidP="001A6300">
            <w:pPr>
              <w:spacing w:before="240"/>
              <w:jc w:val="both"/>
            </w:pPr>
            <w:r w:rsidRPr="005D5683">
              <w:t>Wyżej wskazane pomieszczenie znajduje się w piwnicy budynku (budynek posiada windę).</w:t>
            </w:r>
          </w:p>
          <w:p w14:paraId="7B380D0E" w14:textId="6CCF39BA" w:rsidR="004873FA" w:rsidRDefault="001A6300" w:rsidP="001A6300">
            <w:pPr>
              <w:spacing w:before="240"/>
              <w:jc w:val="both"/>
            </w:pPr>
            <w:r w:rsidRPr="005D5683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lastRenderedPageBreak/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29FE1FDD" w:rsidR="001F5DBD" w:rsidRPr="005D5683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Zgłoszenie, o którym </w:t>
      </w:r>
      <w:r w:rsidRPr="005D5683">
        <w:t xml:space="preserve">mowa powyżej (poprzez złożenie formularza tam wskazanego) winno być złożone pocztą elektroniczną e-mail na adres: </w:t>
      </w:r>
      <w:r w:rsidR="051BF945" w:rsidRPr="005D5683">
        <w:t>Agnieszka.Piegat</w:t>
      </w:r>
      <w:r w:rsidR="009F457B" w:rsidRPr="005D5683">
        <w:t>@zut.edu.pl</w:t>
      </w:r>
      <w:r w:rsidRPr="005D5683">
        <w:t xml:space="preserve">, nie później </w:t>
      </w:r>
      <w:r w:rsidRPr="005D5683">
        <w:br/>
        <w:t xml:space="preserve">niż w </w:t>
      </w:r>
      <w:r w:rsidRPr="005D5683">
        <w:rPr>
          <w:b/>
          <w:bCs/>
        </w:rPr>
        <w:t xml:space="preserve">terminie do dnia </w:t>
      </w:r>
      <w:r w:rsidR="00FC15EF" w:rsidRPr="005D5683">
        <w:rPr>
          <w:b/>
          <w:bCs/>
        </w:rPr>
        <w:t>30. 06</w:t>
      </w:r>
      <w:r w:rsidR="00C44DEC" w:rsidRPr="005D5683">
        <w:rPr>
          <w:b/>
          <w:bCs/>
        </w:rPr>
        <w:t>. 2021</w:t>
      </w:r>
      <w:r w:rsidR="00C01169" w:rsidRPr="005D5683">
        <w:rPr>
          <w:b/>
          <w:bCs/>
        </w:rPr>
        <w:t xml:space="preserve"> </w:t>
      </w:r>
      <w:r w:rsidR="00C01169" w:rsidRPr="005D5683">
        <w:t>(decyduje data odbioru wi</w:t>
      </w:r>
      <w:r w:rsidR="00C44DEC" w:rsidRPr="005D5683">
        <w:t>a</w:t>
      </w:r>
      <w:r w:rsidR="00C01169" w:rsidRPr="005D5683">
        <w:t>domości przez serwer pocztowy Organizatora).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lastRenderedPageBreak/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5A086CF8" w:rsidR="004720D2" w:rsidRPr="005D5683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 uprawnion</w:t>
      </w:r>
      <w:r w:rsidR="00404FCC">
        <w:t>ą</w:t>
      </w:r>
      <w:r>
        <w:t xml:space="preserve"> do prowadzenia konsultacji z ramienia Organizatora, w tym komunikacji </w:t>
      </w:r>
      <w:r>
        <w:br/>
        <w:t xml:space="preserve">w sprawach, o </w:t>
      </w:r>
      <w:r w:rsidRPr="005D5683">
        <w:t>których mowa pkt 5.</w:t>
      </w:r>
      <w:r w:rsidR="00404FCC" w:rsidRPr="005D5683">
        <w:t>2 – 5.4</w:t>
      </w:r>
      <w:r w:rsidRPr="005D5683">
        <w:t xml:space="preserve"> jest </w:t>
      </w:r>
      <w:r w:rsidR="70B76683" w:rsidRPr="005D5683">
        <w:t>d</w:t>
      </w:r>
      <w:r w:rsidR="009F457B" w:rsidRPr="005D5683">
        <w:t>r</w:t>
      </w:r>
      <w:r w:rsidR="00A42DC6" w:rsidRPr="005D5683">
        <w:t xml:space="preserve"> inż. </w:t>
      </w:r>
      <w:r w:rsidR="19A7B8E2" w:rsidRPr="005D5683">
        <w:t xml:space="preserve">Agnieszka </w:t>
      </w:r>
      <w:proofErr w:type="spellStart"/>
      <w:r w:rsidR="19A7B8E2" w:rsidRPr="005D5683">
        <w:t>Piegat</w:t>
      </w:r>
      <w:proofErr w:type="spellEnd"/>
      <w:r w:rsidR="00FC15EF" w:rsidRPr="005D5683">
        <w:t xml:space="preserve">, </w:t>
      </w:r>
      <w:r w:rsidRPr="005D5683">
        <w:t xml:space="preserve">tel. </w:t>
      </w:r>
      <w:r w:rsidR="00A42DC6" w:rsidRPr="005D5683">
        <w:t xml:space="preserve">(91) 449 </w:t>
      </w:r>
      <w:r w:rsidR="6DF4D2AB" w:rsidRPr="005D5683">
        <w:t>4455</w:t>
      </w:r>
      <w:r w:rsidRPr="005D5683">
        <w:t xml:space="preserve">, e-mail </w:t>
      </w:r>
      <w:r w:rsidR="327E12A1" w:rsidRPr="005D5683">
        <w:t>Agnieszka</w:t>
      </w:r>
      <w:r w:rsidR="009F457B" w:rsidRPr="005D5683">
        <w:t>.</w:t>
      </w:r>
      <w:r w:rsidR="1A7386D2" w:rsidRPr="005D5683">
        <w:t>Piegat</w:t>
      </w:r>
      <w:r w:rsidR="009F457B" w:rsidRPr="005D5683">
        <w:t>@zut.edu.pl</w:t>
      </w:r>
      <w:r w:rsidR="00A42DC6" w:rsidRPr="005D5683">
        <w:t>.</w:t>
      </w:r>
      <w:r w:rsidR="009F457B" w:rsidRPr="005D5683">
        <w:t xml:space="preserve"> </w:t>
      </w:r>
      <w:r w:rsidR="00404FCC" w:rsidRPr="005D5683">
        <w:t>Organizator zastrzega sobie prawo zmiany osoby/osób jak wyżej</w:t>
      </w:r>
      <w:r w:rsidR="00A42DC6" w:rsidRPr="005D5683">
        <w:t>,</w:t>
      </w:r>
      <w:r w:rsidR="00404FCC" w:rsidRPr="005D5683">
        <w:t xml:space="preserve"> o czym powiadomi </w:t>
      </w:r>
      <w:bookmarkStart w:id="0" w:name="_GoBack"/>
      <w:bookmarkEnd w:id="0"/>
      <w:r w:rsidR="00404FCC" w:rsidRPr="005D5683">
        <w:t>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6775B6" w:rsidRPr="004720D2">
        <w:rPr>
          <w:rFonts w:ascii="Calibri" w:eastAsia="Times New Roman" w:hAnsi="Calibri" w:cs="Arial"/>
          <w:bCs/>
          <w:lang w:eastAsia="pl-PL"/>
        </w:rPr>
        <w:lastRenderedPageBreak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lastRenderedPageBreak/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lastRenderedPageBreak/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8081" w14:textId="77777777" w:rsidR="00836578" w:rsidRDefault="00836578" w:rsidP="008E29B5">
      <w:pPr>
        <w:spacing w:after="0" w:line="240" w:lineRule="auto"/>
      </w:pPr>
      <w:r>
        <w:separator/>
      </w:r>
    </w:p>
  </w:endnote>
  <w:endnote w:type="continuationSeparator" w:id="0">
    <w:p w14:paraId="2760C915" w14:textId="77777777" w:rsidR="00836578" w:rsidRDefault="00836578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19CC99C7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83">
          <w:rPr>
            <w:noProof/>
          </w:rPr>
          <w:t>7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026E" w14:textId="77777777" w:rsidR="00836578" w:rsidRDefault="00836578" w:rsidP="008E29B5">
      <w:pPr>
        <w:spacing w:after="0" w:line="240" w:lineRule="auto"/>
      </w:pPr>
      <w:r>
        <w:separator/>
      </w:r>
    </w:p>
  </w:footnote>
  <w:footnote w:type="continuationSeparator" w:id="0">
    <w:p w14:paraId="3BC4F70D" w14:textId="77777777" w:rsidR="00836578" w:rsidRDefault="00836578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3E94" w14:textId="66C8B5E6" w:rsidR="005D5683" w:rsidRDefault="005D5683">
    <w:pPr>
      <w:pStyle w:val="Nagwek"/>
    </w:pPr>
  </w:p>
  <w:p w14:paraId="35753B33" w14:textId="34BB44ED" w:rsidR="005D5683" w:rsidRDefault="005D5683">
    <w:pPr>
      <w:pStyle w:val="Nagwek"/>
    </w:pPr>
    <w:r>
      <w:rPr>
        <w:noProof/>
        <w:lang w:eastAsia="pl-PL"/>
      </w:rPr>
      <w:drawing>
        <wp:inline distT="0" distB="0" distL="0" distR="0" wp14:anchorId="0F501204" wp14:editId="0DCFECBD">
          <wp:extent cx="5755005" cy="7016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09F064C"/>
    <w:multiLevelType w:val="hybridMultilevel"/>
    <w:tmpl w:val="708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64A"/>
    <w:multiLevelType w:val="hybridMultilevel"/>
    <w:tmpl w:val="211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39B3427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8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2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7A7D6882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25"/>
  </w:num>
  <w:num w:numId="5">
    <w:abstractNumId w:val="1"/>
  </w:num>
  <w:num w:numId="6">
    <w:abstractNumId w:val="9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9"/>
  </w:num>
  <w:num w:numId="14">
    <w:abstractNumId w:val="20"/>
  </w:num>
  <w:num w:numId="15">
    <w:abstractNumId w:val="15"/>
  </w:num>
  <w:num w:numId="16">
    <w:abstractNumId w:val="18"/>
  </w:num>
  <w:num w:numId="17">
    <w:abstractNumId w:val="13"/>
  </w:num>
  <w:num w:numId="18">
    <w:abstractNumId w:val="22"/>
  </w:num>
  <w:num w:numId="19">
    <w:abstractNumId w:val="4"/>
  </w:num>
  <w:num w:numId="20">
    <w:abstractNumId w:val="17"/>
  </w:num>
  <w:num w:numId="21">
    <w:abstractNumId w:val="5"/>
  </w:num>
  <w:num w:numId="22">
    <w:abstractNumId w:val="21"/>
  </w:num>
  <w:num w:numId="23">
    <w:abstractNumId w:val="26"/>
  </w:num>
  <w:num w:numId="24">
    <w:abstractNumId w:val="6"/>
  </w:num>
  <w:num w:numId="25">
    <w:abstractNumId w:val="7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B"/>
    <w:rsid w:val="000A50B5"/>
    <w:rsid w:val="000A66E6"/>
    <w:rsid w:val="000B3A94"/>
    <w:rsid w:val="000B41E2"/>
    <w:rsid w:val="000B7EEE"/>
    <w:rsid w:val="000C2444"/>
    <w:rsid w:val="000E4290"/>
    <w:rsid w:val="000E79F8"/>
    <w:rsid w:val="0014478B"/>
    <w:rsid w:val="001617A1"/>
    <w:rsid w:val="00194EF6"/>
    <w:rsid w:val="001A6300"/>
    <w:rsid w:val="001B62A1"/>
    <w:rsid w:val="001F5DBD"/>
    <w:rsid w:val="002518ED"/>
    <w:rsid w:val="002669DC"/>
    <w:rsid w:val="00271117"/>
    <w:rsid w:val="002858DA"/>
    <w:rsid w:val="002E03A6"/>
    <w:rsid w:val="00300E1F"/>
    <w:rsid w:val="00311920"/>
    <w:rsid w:val="0032540A"/>
    <w:rsid w:val="0034090A"/>
    <w:rsid w:val="0035264A"/>
    <w:rsid w:val="003C4417"/>
    <w:rsid w:val="003D0429"/>
    <w:rsid w:val="00404FCC"/>
    <w:rsid w:val="004070BF"/>
    <w:rsid w:val="004077B9"/>
    <w:rsid w:val="004720D2"/>
    <w:rsid w:val="004873FA"/>
    <w:rsid w:val="004E4C37"/>
    <w:rsid w:val="00503E88"/>
    <w:rsid w:val="00503F23"/>
    <w:rsid w:val="00527709"/>
    <w:rsid w:val="0056259D"/>
    <w:rsid w:val="0059369A"/>
    <w:rsid w:val="005B1626"/>
    <w:rsid w:val="005B618B"/>
    <w:rsid w:val="005D5683"/>
    <w:rsid w:val="00625255"/>
    <w:rsid w:val="006379FE"/>
    <w:rsid w:val="00667632"/>
    <w:rsid w:val="006775B6"/>
    <w:rsid w:val="006E5B8F"/>
    <w:rsid w:val="006E785C"/>
    <w:rsid w:val="006F731D"/>
    <w:rsid w:val="00703CB1"/>
    <w:rsid w:val="00713BDA"/>
    <w:rsid w:val="00755DE5"/>
    <w:rsid w:val="0079327A"/>
    <w:rsid w:val="007A6A8E"/>
    <w:rsid w:val="007B007E"/>
    <w:rsid w:val="007C0CEC"/>
    <w:rsid w:val="007D395D"/>
    <w:rsid w:val="007D651B"/>
    <w:rsid w:val="008004D0"/>
    <w:rsid w:val="008068CC"/>
    <w:rsid w:val="00830807"/>
    <w:rsid w:val="00836578"/>
    <w:rsid w:val="00890C91"/>
    <w:rsid w:val="008B1582"/>
    <w:rsid w:val="008E29B5"/>
    <w:rsid w:val="00926088"/>
    <w:rsid w:val="009339E0"/>
    <w:rsid w:val="00943BD7"/>
    <w:rsid w:val="00960635"/>
    <w:rsid w:val="009766EC"/>
    <w:rsid w:val="0098573B"/>
    <w:rsid w:val="00985A87"/>
    <w:rsid w:val="009A2509"/>
    <w:rsid w:val="009C1591"/>
    <w:rsid w:val="009E5E90"/>
    <w:rsid w:val="009F457B"/>
    <w:rsid w:val="00A02F6B"/>
    <w:rsid w:val="00A04918"/>
    <w:rsid w:val="00A06646"/>
    <w:rsid w:val="00A36C5B"/>
    <w:rsid w:val="00A42DC6"/>
    <w:rsid w:val="00A72C9E"/>
    <w:rsid w:val="00A752EC"/>
    <w:rsid w:val="00A81594"/>
    <w:rsid w:val="00A81D11"/>
    <w:rsid w:val="00AA4657"/>
    <w:rsid w:val="00AB5A7C"/>
    <w:rsid w:val="00B15033"/>
    <w:rsid w:val="00B371F9"/>
    <w:rsid w:val="00B504BF"/>
    <w:rsid w:val="00B56D0E"/>
    <w:rsid w:val="00B66D49"/>
    <w:rsid w:val="00B826B3"/>
    <w:rsid w:val="00B95A18"/>
    <w:rsid w:val="00BC5FC8"/>
    <w:rsid w:val="00C01169"/>
    <w:rsid w:val="00C44DEC"/>
    <w:rsid w:val="00C45F91"/>
    <w:rsid w:val="00C50EF7"/>
    <w:rsid w:val="00C51941"/>
    <w:rsid w:val="00CB4BDF"/>
    <w:rsid w:val="00CC17E9"/>
    <w:rsid w:val="00CD23E5"/>
    <w:rsid w:val="00CD6DC5"/>
    <w:rsid w:val="00CE5866"/>
    <w:rsid w:val="00D26460"/>
    <w:rsid w:val="00D431AC"/>
    <w:rsid w:val="00D933F8"/>
    <w:rsid w:val="00DB6187"/>
    <w:rsid w:val="00DC6955"/>
    <w:rsid w:val="00E02B1A"/>
    <w:rsid w:val="00E60351"/>
    <w:rsid w:val="00EB10EA"/>
    <w:rsid w:val="00EB41F3"/>
    <w:rsid w:val="00ED04FD"/>
    <w:rsid w:val="00EF2380"/>
    <w:rsid w:val="00F05637"/>
    <w:rsid w:val="00F16C7A"/>
    <w:rsid w:val="00F318E1"/>
    <w:rsid w:val="00F324EE"/>
    <w:rsid w:val="00F32E4D"/>
    <w:rsid w:val="00F3780B"/>
    <w:rsid w:val="00F444CD"/>
    <w:rsid w:val="00F608B4"/>
    <w:rsid w:val="00FA0C42"/>
    <w:rsid w:val="00FC15EF"/>
    <w:rsid w:val="00FC44DF"/>
    <w:rsid w:val="00FF2F21"/>
    <w:rsid w:val="051BF945"/>
    <w:rsid w:val="19A7B8E2"/>
    <w:rsid w:val="1A7386D2"/>
    <w:rsid w:val="26B7408A"/>
    <w:rsid w:val="327E12A1"/>
    <w:rsid w:val="3C71933B"/>
    <w:rsid w:val="570933E1"/>
    <w:rsid w:val="62924E1A"/>
    <w:rsid w:val="66774A3D"/>
    <w:rsid w:val="6DF4D2AB"/>
    <w:rsid w:val="70B76683"/>
    <w:rsid w:val="7D8766FA"/>
    <w:rsid w:val="7FC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4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DD9"/>
    <w:rsid w:val="009978AE"/>
    <w:rsid w:val="00E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82BB3C67A54BBC8EAF71A4D6E929FC">
    <w:name w:val="4382BB3C67A54BBC8EAF71A4D6E929FC"/>
    <w:rsid w:val="00997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5B030-9EB9-4167-8C6B-49ABC9A5E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19524-A6B4-482D-9D4E-E3427113551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619a696-bcc0-4dc4-9e3d-bf5edcc01f0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308D4C-AA5F-40C0-94B1-FC5711D3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2447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Adam Spychała</cp:lastModifiedBy>
  <cp:revision>3</cp:revision>
  <dcterms:created xsi:type="dcterms:W3CDTF">2021-06-22T10:52:00Z</dcterms:created>
  <dcterms:modified xsi:type="dcterms:W3CDTF">2021-06-22T10:57:00Z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