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790B1A">
      <w:pPr>
        <w:ind w:right="-2"/>
        <w:rPr>
          <w:b/>
          <w:color w:val="000000"/>
          <w:sz w:val="22"/>
          <w:szCs w:val="22"/>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r w:rsidR="00790B1A">
        <w:rPr>
          <w:b/>
          <w:color w:val="000000"/>
          <w:sz w:val="24"/>
          <w:szCs w:val="24"/>
        </w:rPr>
        <w:t xml:space="preserve">                  </w:t>
      </w:r>
      <w:r w:rsidR="00485C13">
        <w:rPr>
          <w:b/>
          <w:color w:val="000000"/>
          <w:sz w:val="22"/>
          <w:szCs w:val="22"/>
        </w:rPr>
        <w:t xml:space="preserve">Załącznik nr </w:t>
      </w:r>
      <w:r w:rsidR="00EC492C">
        <w:rPr>
          <w:b/>
          <w:color w:val="000000"/>
          <w:sz w:val="22"/>
          <w:szCs w:val="22"/>
        </w:rPr>
        <w:t>6</w:t>
      </w:r>
      <w:r w:rsidR="00485C13">
        <w:rPr>
          <w:b/>
          <w:color w:val="000000"/>
          <w:sz w:val="22"/>
          <w:szCs w:val="22"/>
        </w:rPr>
        <w:t xml:space="preserve"> d</w:t>
      </w:r>
      <w:r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C82D05">
        <w:rPr>
          <w:b/>
          <w:sz w:val="22"/>
          <w:szCs w:val="22"/>
        </w:rPr>
        <w:t>8</w:t>
      </w:r>
      <w:r w:rsidR="003E655D">
        <w:rPr>
          <w:b/>
          <w:sz w:val="22"/>
          <w:szCs w:val="22"/>
        </w:rPr>
        <w:t>6</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3E655D" w:rsidRPr="003E655D" w:rsidRDefault="006F49D4" w:rsidP="003E655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6616E2">
        <w:rPr>
          <w:color w:val="000000"/>
        </w:rPr>
        <w:t>zadania inwestycyjnego</w:t>
      </w:r>
      <w:r w:rsidR="00CE7D0A">
        <w:rPr>
          <w:color w:val="000000"/>
        </w:rPr>
        <w:t xml:space="preserve"> polegającego na </w:t>
      </w:r>
      <w:bookmarkEnd w:id="0"/>
      <w:r w:rsidR="003E655D" w:rsidRPr="003E655D">
        <w:rPr>
          <w:b/>
        </w:rPr>
        <w:t>Wykonani</w:t>
      </w:r>
      <w:r w:rsidR="003E655D">
        <w:rPr>
          <w:b/>
        </w:rPr>
        <w:t>u</w:t>
      </w:r>
      <w:r w:rsidR="003E655D" w:rsidRPr="003E655D">
        <w:rPr>
          <w:b/>
        </w:rPr>
        <w:t xml:space="preserve"> klimatyzacji w laboratorium 405 na Wydziale Technologii </w:t>
      </w:r>
      <w:r w:rsidR="003E655D">
        <w:rPr>
          <w:b/>
        </w:rPr>
        <w:br/>
      </w:r>
      <w:r w:rsidR="003E655D" w:rsidRPr="003E655D">
        <w:rPr>
          <w:b/>
        </w:rPr>
        <w:t>i Inżynierii Chemicznej przy al. Piastów 42 w Szczecinie w formule „zaprojektuj i wybuduj”.</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3E655D">
        <w:rPr>
          <w:b/>
          <w:color w:val="000000"/>
        </w:rPr>
        <w:t>86</w:t>
      </w:r>
      <w:r w:rsidR="00294089">
        <w:rPr>
          <w:b/>
          <w:color w:val="000000"/>
        </w:rPr>
        <w:t>/2021</w:t>
      </w:r>
      <w:r w:rsidRPr="00CE7D0A">
        <w:rPr>
          <w:b/>
          <w:color w:val="000000"/>
        </w:rPr>
        <w:t xml:space="preserve"> </w:t>
      </w:r>
      <w:r w:rsidR="00877EC0" w:rsidRPr="00877EC0">
        <w:rPr>
          <w:color w:val="000000"/>
        </w:rPr>
        <w:t>(Opis pr</w:t>
      </w:r>
      <w:r w:rsidR="00877EC0">
        <w:rPr>
          <w:color w:val="000000"/>
        </w:rPr>
        <w:t>zedmiotu zamówienia</w:t>
      </w:r>
      <w:r w:rsidR="00A252FE">
        <w:rPr>
          <w:color w:val="000000"/>
        </w:rPr>
        <w:t xml:space="preserve"> – Program Funkcjonalno-Użytkowy)</w:t>
      </w:r>
      <w:r w:rsidR="00877EC0">
        <w:rPr>
          <w:color w:val="000000"/>
        </w:rPr>
        <w:t xml:space="preserve"> </w:t>
      </w:r>
      <w:r w:rsidRPr="00CE7D0A">
        <w:rPr>
          <w:color w:val="000000"/>
        </w:rPr>
        <w:t>zakres prac projektowych</w:t>
      </w:r>
      <w:r w:rsidR="00A252FE">
        <w:rPr>
          <w:color w:val="000000"/>
        </w:rPr>
        <w:br/>
      </w:r>
      <w:r w:rsidRPr="00CE7D0A">
        <w:rPr>
          <w:color w:val="000000"/>
        </w:rPr>
        <w:t>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Default="00A252FE"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2.1  </w:t>
      </w:r>
      <w:r w:rsidR="00877EC0">
        <w:rPr>
          <w:rFonts w:ascii="Times New Roman" w:hAnsi="Times New Roman" w:cs="Times New Roman"/>
          <w:b/>
          <w:color w:val="000000" w:themeColor="text1"/>
          <w:sz w:val="20"/>
          <w:szCs w:val="20"/>
          <w:u w:val="single"/>
        </w:rPr>
        <w:t xml:space="preserve">Wykonanie </w:t>
      </w:r>
      <w:r w:rsidR="00877EC0" w:rsidRPr="00C42898">
        <w:rPr>
          <w:rFonts w:ascii="Times New Roman" w:hAnsi="Times New Roman" w:cs="Times New Roman"/>
          <w:b/>
          <w:color w:val="000000" w:themeColor="text1"/>
          <w:sz w:val="20"/>
          <w:szCs w:val="20"/>
          <w:u w:val="single"/>
        </w:rPr>
        <w:t>prac projektowych.</w:t>
      </w:r>
    </w:p>
    <w:p w:rsidR="00A252FE" w:rsidRDefault="00423D74" w:rsidP="00A252FE">
      <w:pPr>
        <w:jc w:val="both"/>
        <w:rPr>
          <w:szCs w:val="24"/>
        </w:rPr>
      </w:pPr>
      <w:r w:rsidRPr="00A252FE">
        <w:t>Do zadań Wykonawcy w zakresie projektowania należeć będzie</w:t>
      </w:r>
      <w:r w:rsidR="00A252FE" w:rsidRPr="00A252FE">
        <w:t xml:space="preserve"> wykonanie</w:t>
      </w:r>
      <w:r w:rsidR="00A252FE">
        <w:t xml:space="preserve"> dokumentacji, </w:t>
      </w:r>
      <w:r w:rsidR="00A252FE" w:rsidRPr="0035460D">
        <w:rPr>
          <w:szCs w:val="24"/>
        </w:rPr>
        <w:t xml:space="preserve">zgodnie z </w:t>
      </w:r>
      <w:r w:rsidR="00A252FE" w:rsidRPr="0035460D">
        <w:rPr>
          <w:b/>
          <w:szCs w:val="24"/>
        </w:rPr>
        <w:t>pkt 1.2.</w:t>
      </w:r>
      <w:r w:rsidR="00A252FE">
        <w:rPr>
          <w:b/>
          <w:szCs w:val="24"/>
        </w:rPr>
        <w:br/>
      </w:r>
      <w:r w:rsidR="00A252FE" w:rsidRPr="0035460D">
        <w:rPr>
          <w:b/>
          <w:szCs w:val="24"/>
        </w:rPr>
        <w:t>i 2.1.</w:t>
      </w:r>
      <w:r w:rsidR="00A252FE" w:rsidRPr="0035460D">
        <w:rPr>
          <w:szCs w:val="24"/>
        </w:rPr>
        <w:t xml:space="preserve"> Programu Funkcjonalno-Użytkowego </w:t>
      </w:r>
      <w:r w:rsidR="00A252FE">
        <w:rPr>
          <w:szCs w:val="24"/>
        </w:rPr>
        <w:t>(załącznik nr 2 do IWZ 86/2021).</w:t>
      </w:r>
    </w:p>
    <w:p w:rsidR="00423D74" w:rsidRPr="00423D74" w:rsidRDefault="00423D74" w:rsidP="00423D74">
      <w:pPr>
        <w:jc w:val="both"/>
        <w:rPr>
          <w:u w:val="single"/>
        </w:rPr>
      </w:pPr>
      <w:r w:rsidRPr="00423D74">
        <w:rPr>
          <w:u w:val="single"/>
        </w:rPr>
        <w:t>Zakres prac:</w:t>
      </w:r>
    </w:p>
    <w:p w:rsidR="00423D74" w:rsidRPr="00423D74" w:rsidRDefault="00423D74" w:rsidP="00423D74">
      <w:pPr>
        <w:numPr>
          <w:ilvl w:val="0"/>
          <w:numId w:val="42"/>
        </w:numPr>
        <w:ind w:left="284" w:hanging="284"/>
        <w:jc w:val="both"/>
      </w:pPr>
      <w:r w:rsidRPr="00423D74">
        <w:t>Wykonanie inwentaryzacji w niezbędnym zakresie i koncepcję do uzgodnienia z Zamawiającym.</w:t>
      </w:r>
    </w:p>
    <w:p w:rsidR="00423D74" w:rsidRPr="00423D74" w:rsidRDefault="00423D74" w:rsidP="00423D74">
      <w:pPr>
        <w:numPr>
          <w:ilvl w:val="0"/>
          <w:numId w:val="42"/>
        </w:numPr>
        <w:ind w:left="284" w:hanging="284"/>
        <w:jc w:val="both"/>
      </w:pPr>
      <w:r w:rsidRPr="00423D74">
        <w:t>Wykonanie projektu budowlanego i technicznego wszystkich branż koniecznych do prowadzenia robót budowlanych, zgodnie z przepisami oraz wytycznymi wraz z niezbędnymi warunkami technicznymi, decyzjami, odstępstwami, postanowieniami, ekspertyzami, zezwoleniami, pozwoleniami oraz wszelkimi innymi niezbędnymi dokumentami  warunkującymi otrzymanie decyzji o pozwoleniu na budowę lub zgłoszenia robót nie  wymagających pozwolenia na budowę.</w:t>
      </w:r>
    </w:p>
    <w:p w:rsidR="00423D74" w:rsidRPr="00423D74" w:rsidRDefault="00423D74" w:rsidP="00423D74">
      <w:pPr>
        <w:numPr>
          <w:ilvl w:val="0"/>
          <w:numId w:val="42"/>
        </w:numPr>
        <w:ind w:left="284" w:hanging="284"/>
        <w:jc w:val="both"/>
      </w:pPr>
      <w:r w:rsidRPr="00423D74">
        <w:t>Wykonanie zestawienia kosztorysów oraz kosztorysów inwestorskich i przedmiarów robót z podziałem na branże.</w:t>
      </w:r>
    </w:p>
    <w:p w:rsidR="00423D74" w:rsidRPr="00423D74" w:rsidRDefault="00423D74" w:rsidP="00423D74">
      <w:pPr>
        <w:numPr>
          <w:ilvl w:val="0"/>
          <w:numId w:val="42"/>
        </w:numPr>
        <w:ind w:left="284" w:hanging="284"/>
        <w:jc w:val="both"/>
      </w:pPr>
      <w:r w:rsidRPr="00423D74">
        <w:t>Opracowanie specyfikacji technicznych wykonania i odbioru robót.</w:t>
      </w:r>
    </w:p>
    <w:p w:rsidR="00423D74" w:rsidRPr="00423D74" w:rsidRDefault="00423D74" w:rsidP="00423D74">
      <w:pPr>
        <w:numPr>
          <w:ilvl w:val="0"/>
          <w:numId w:val="42"/>
        </w:numPr>
        <w:ind w:left="284" w:hanging="284"/>
        <w:jc w:val="both"/>
      </w:pPr>
      <w:r w:rsidRPr="00423D74">
        <w:t>Spis opracowań wszystkich branż wykonywanych w ramach przedmiotu zamówienia, według przyjętej numeracji.</w:t>
      </w:r>
    </w:p>
    <w:p w:rsidR="00423D74" w:rsidRPr="00423D74" w:rsidRDefault="00423D74" w:rsidP="00423D74">
      <w:pPr>
        <w:numPr>
          <w:ilvl w:val="0"/>
          <w:numId w:val="42"/>
        </w:numPr>
        <w:ind w:left="284" w:hanging="284"/>
        <w:jc w:val="both"/>
      </w:pPr>
      <w:r w:rsidRPr="00423D74">
        <w:t>Złożenie, w imieniu Zamawiającego, wniosku o pozwolenie na budowę w Urzędzie Miasta Szczecin oraz uzyskanie ostatecznej decyzji o pozwoleniu na budowę lub zgłoszenie robót nie wymagających pozwolenia na budowę.</w:t>
      </w:r>
    </w:p>
    <w:p w:rsidR="00423D74" w:rsidRPr="00423D74" w:rsidRDefault="00423D74" w:rsidP="00423D74">
      <w:pPr>
        <w:numPr>
          <w:ilvl w:val="0"/>
          <w:numId w:val="42"/>
        </w:numPr>
        <w:ind w:left="284" w:hanging="284"/>
        <w:jc w:val="both"/>
      </w:pPr>
      <w:r w:rsidRPr="00423D74">
        <w:t>Przed złożeniem dokumentacji projektowej do Urzędu Miejskiego lub PINB, należy uzyskać akceptację przyjętych rozwiązań w dokumentacji przez Zamawiającego na piśmie.</w:t>
      </w:r>
    </w:p>
    <w:p w:rsidR="00423D74" w:rsidRDefault="00423D74" w:rsidP="00423D74">
      <w:pPr>
        <w:numPr>
          <w:ilvl w:val="0"/>
          <w:numId w:val="42"/>
        </w:numPr>
        <w:ind w:left="284" w:hanging="284"/>
        <w:jc w:val="both"/>
      </w:pPr>
      <w:r w:rsidRPr="00423D74">
        <w:t>Sprawowanie nadzoru autorskiego przy realizacji robót.</w:t>
      </w:r>
    </w:p>
    <w:p w:rsidR="00423D74" w:rsidRPr="00423D74" w:rsidRDefault="00423D74" w:rsidP="00423D74">
      <w:pPr>
        <w:ind w:left="284"/>
        <w:jc w:val="both"/>
      </w:pPr>
    </w:p>
    <w:p w:rsidR="00423D74" w:rsidRPr="00423D74" w:rsidRDefault="00423D74" w:rsidP="00423D74">
      <w:pPr>
        <w:jc w:val="both"/>
      </w:pPr>
      <w:r w:rsidRPr="00423D74">
        <w:t>Dokumentacja projektowa w branżach sanitarnej, elektrycznej, automatyki i konstrukcji musi być wykonana przez osoby posiadające uprawnienia do projektowania o odpowiednich specjalizacjach</w:t>
      </w:r>
      <w:r w:rsidR="00790B1A">
        <w:t>.</w:t>
      </w:r>
    </w:p>
    <w:p w:rsidR="00423D74" w:rsidRDefault="00423D74" w:rsidP="00423D74"/>
    <w:p w:rsidR="00877EC0" w:rsidRDefault="00A252FE" w:rsidP="00116DFD">
      <w:pPr>
        <w:pStyle w:val="Nagwek2"/>
        <w:spacing w:after="120"/>
        <w:jc w:val="both"/>
        <w:rPr>
          <w:rFonts w:ascii="Times New Roman" w:hAnsi="Times New Roman" w:cs="Times New Roman"/>
          <w:b/>
          <w:color w:val="000000" w:themeColor="text1"/>
          <w:sz w:val="20"/>
          <w:szCs w:val="20"/>
        </w:rPr>
      </w:pPr>
      <w:bookmarkStart w:id="1" w:name="_Toc31974748"/>
      <w:r>
        <w:rPr>
          <w:rFonts w:ascii="Times New Roman" w:hAnsi="Times New Roman" w:cs="Times New Roman"/>
          <w:b/>
          <w:color w:val="000000" w:themeColor="text1"/>
          <w:sz w:val="20"/>
          <w:szCs w:val="20"/>
          <w:u w:val="single"/>
        </w:rPr>
        <w:lastRenderedPageBreak/>
        <w:t xml:space="preserve">2.2 </w:t>
      </w:r>
      <w:r w:rsidR="00877EC0"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00877EC0"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00B614B8">
        <w:rPr>
          <w:rFonts w:ascii="Times New Roman" w:hAnsi="Times New Roman" w:cs="Times New Roman"/>
          <w:b/>
          <w:color w:val="000000" w:themeColor="text1"/>
          <w:sz w:val="20"/>
          <w:szCs w:val="20"/>
          <w:u w:val="single"/>
        </w:rPr>
        <w:t>.</w:t>
      </w:r>
      <w:bookmarkEnd w:id="1"/>
    </w:p>
    <w:p w:rsidR="00A252FE" w:rsidRPr="00A252FE" w:rsidRDefault="00A252FE" w:rsidP="00A252FE">
      <w:pPr>
        <w:pStyle w:val="Akapitzlist"/>
        <w:numPr>
          <w:ilvl w:val="0"/>
          <w:numId w:val="46"/>
        </w:numPr>
        <w:ind w:left="284" w:hanging="295"/>
        <w:jc w:val="both"/>
        <w:rPr>
          <w:szCs w:val="24"/>
        </w:rPr>
      </w:pPr>
      <w:r>
        <w:t xml:space="preserve">Roboty należy wykonać, zgodnie z </w:t>
      </w:r>
      <w:r w:rsidRPr="00A252FE">
        <w:rPr>
          <w:b/>
          <w:szCs w:val="24"/>
        </w:rPr>
        <w:t>pkt 1.3. i 2.3.</w:t>
      </w:r>
      <w:r w:rsidRPr="00A252FE">
        <w:rPr>
          <w:szCs w:val="24"/>
        </w:rPr>
        <w:t xml:space="preserve"> Programu Funkcjonalno-Użytkowego (załącznik nr 2 do IWZ 86/2021).</w:t>
      </w:r>
    </w:p>
    <w:p w:rsidR="006F49D4" w:rsidRPr="00DB5277" w:rsidRDefault="006F49D4" w:rsidP="00A252FE">
      <w:pPr>
        <w:pStyle w:val="Akapitzlist"/>
        <w:numPr>
          <w:ilvl w:val="0"/>
          <w:numId w:val="46"/>
        </w:numPr>
        <w:tabs>
          <w:tab w:val="left" w:pos="426"/>
        </w:tabs>
        <w:spacing w:after="120"/>
        <w:ind w:left="284" w:hanging="295"/>
        <w:jc w:val="both"/>
      </w:pPr>
      <w:r w:rsidRPr="00A252FE">
        <w:rPr>
          <w:b/>
        </w:rPr>
        <w:t xml:space="preserve">Wykonawca </w:t>
      </w:r>
      <w:r w:rsidRPr="00DB5277">
        <w:t>zobowiązuje się do wykonania przedmiotu umowy bez podzlecania jego części innym</w:t>
      </w:r>
      <w:r w:rsidRPr="00A252FE">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Default="006F49D4" w:rsidP="00F14640">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F14640" w:rsidRPr="0005424E" w:rsidRDefault="00F14640" w:rsidP="00790B1A">
      <w:pPr>
        <w:pStyle w:val="Akapitzlist"/>
        <w:numPr>
          <w:ilvl w:val="0"/>
          <w:numId w:val="43"/>
        </w:numPr>
        <w:spacing w:after="120"/>
        <w:ind w:left="284" w:hanging="284"/>
        <w:contextualSpacing/>
        <w:jc w:val="both"/>
        <w:rPr>
          <w:szCs w:val="24"/>
        </w:rPr>
      </w:pPr>
      <w:r>
        <w:rPr>
          <w:szCs w:val="24"/>
        </w:rPr>
        <w:t xml:space="preserve">niezbędną inwentaryzację wraz z </w:t>
      </w:r>
      <w:r w:rsidRPr="0005424E">
        <w:rPr>
          <w:szCs w:val="24"/>
        </w:rPr>
        <w:t>koncepcj</w:t>
      </w:r>
      <w:r>
        <w:rPr>
          <w:szCs w:val="24"/>
        </w:rPr>
        <w:t xml:space="preserve">ą </w:t>
      </w:r>
      <w:r w:rsidRPr="0005424E">
        <w:rPr>
          <w:szCs w:val="24"/>
        </w:rPr>
        <w:t xml:space="preserve">– w terminie </w:t>
      </w:r>
      <w:r w:rsidRPr="003F5CA2">
        <w:rPr>
          <w:b/>
          <w:szCs w:val="24"/>
        </w:rPr>
        <w:t xml:space="preserve">do </w:t>
      </w:r>
      <w:r>
        <w:rPr>
          <w:b/>
          <w:szCs w:val="24"/>
        </w:rPr>
        <w:t>30</w:t>
      </w:r>
      <w:r w:rsidRPr="003F5CA2">
        <w:rPr>
          <w:b/>
          <w:szCs w:val="24"/>
        </w:rPr>
        <w:t xml:space="preserve"> dni</w:t>
      </w:r>
      <w:r w:rsidRPr="0005424E">
        <w:rPr>
          <w:szCs w:val="24"/>
        </w:rPr>
        <w:t xml:space="preserve"> od podpisania umowy;</w:t>
      </w:r>
    </w:p>
    <w:p w:rsidR="00F14640" w:rsidRDefault="00F14640" w:rsidP="00790B1A">
      <w:pPr>
        <w:pStyle w:val="Akapitzlist"/>
        <w:numPr>
          <w:ilvl w:val="0"/>
          <w:numId w:val="43"/>
        </w:numPr>
        <w:spacing w:after="120"/>
        <w:ind w:left="284" w:hanging="284"/>
        <w:contextualSpacing/>
        <w:jc w:val="both"/>
        <w:rPr>
          <w:szCs w:val="24"/>
        </w:rPr>
      </w:pPr>
      <w:r w:rsidRPr="0005424E">
        <w:rPr>
          <w:szCs w:val="24"/>
        </w:rPr>
        <w:t>wielobranżow</w:t>
      </w:r>
      <w:r>
        <w:rPr>
          <w:szCs w:val="24"/>
        </w:rPr>
        <w:t>y</w:t>
      </w:r>
      <w:r w:rsidRPr="0005424E">
        <w:rPr>
          <w:szCs w:val="24"/>
        </w:rPr>
        <w:t xml:space="preserve"> projekt </w:t>
      </w:r>
      <w:r>
        <w:rPr>
          <w:szCs w:val="24"/>
        </w:rPr>
        <w:t>budowlany</w:t>
      </w:r>
      <w:r w:rsidRPr="0005424E">
        <w:rPr>
          <w:szCs w:val="24"/>
        </w:rPr>
        <w:t xml:space="preserve"> wraz z uzyskaniem niezbędnych uzgodnień, warunków technicznych, decyzji, odstępstw, postanowień, zezwoleń</w:t>
      </w:r>
      <w:r>
        <w:rPr>
          <w:szCs w:val="24"/>
        </w:rPr>
        <w:t xml:space="preserve">, ekspertyz i złożeniem ich Zamawiającemu celem akceptacji  </w:t>
      </w:r>
      <w:r w:rsidRPr="0005424E">
        <w:rPr>
          <w:szCs w:val="24"/>
        </w:rPr>
        <w:t xml:space="preserve">– w terminie </w:t>
      </w:r>
      <w:r w:rsidRPr="003F5CA2">
        <w:rPr>
          <w:b/>
          <w:szCs w:val="24"/>
        </w:rPr>
        <w:t>do 45 dni</w:t>
      </w:r>
      <w:r w:rsidRPr="0005424E">
        <w:rPr>
          <w:szCs w:val="24"/>
        </w:rPr>
        <w:t xml:space="preserve"> od </w:t>
      </w:r>
      <w:r>
        <w:rPr>
          <w:szCs w:val="24"/>
        </w:rPr>
        <w:t>zatwierdzenia koncepcji</w:t>
      </w:r>
      <w:r w:rsidRPr="0005424E">
        <w:rPr>
          <w:szCs w:val="24"/>
        </w:rPr>
        <w:t>;</w:t>
      </w:r>
    </w:p>
    <w:p w:rsidR="00F14640" w:rsidRPr="0005424E" w:rsidRDefault="00F14640" w:rsidP="00790B1A">
      <w:pPr>
        <w:pStyle w:val="Akapitzlist"/>
        <w:numPr>
          <w:ilvl w:val="0"/>
          <w:numId w:val="43"/>
        </w:numPr>
        <w:spacing w:after="120"/>
        <w:ind w:left="284" w:hanging="284"/>
        <w:contextualSpacing/>
        <w:jc w:val="both"/>
        <w:rPr>
          <w:szCs w:val="24"/>
        </w:rPr>
      </w:pPr>
      <w:r>
        <w:rPr>
          <w:szCs w:val="24"/>
        </w:rPr>
        <w:t xml:space="preserve">złożenia </w:t>
      </w:r>
      <w:r w:rsidRPr="0005424E">
        <w:rPr>
          <w:szCs w:val="24"/>
        </w:rPr>
        <w:t xml:space="preserve">w </w:t>
      </w:r>
      <w:proofErr w:type="spellStart"/>
      <w:r w:rsidRPr="0005424E">
        <w:rPr>
          <w:szCs w:val="24"/>
        </w:rPr>
        <w:t>WUiAB</w:t>
      </w:r>
      <w:proofErr w:type="spellEnd"/>
      <w:r w:rsidRPr="0005424E">
        <w:rPr>
          <w:szCs w:val="24"/>
        </w:rPr>
        <w:t xml:space="preserve"> Urzędu Miejskiego w </w:t>
      </w:r>
      <w:r>
        <w:rPr>
          <w:szCs w:val="24"/>
        </w:rPr>
        <w:t xml:space="preserve">Szczecinie wniosku o uzyskanie decyzji pozwolenia na budowę lub zgłoszenia robót nie wymagających pozwolenia na budowę w terminie </w:t>
      </w:r>
      <w:r w:rsidRPr="003F5CA2">
        <w:rPr>
          <w:b/>
          <w:szCs w:val="24"/>
        </w:rPr>
        <w:t>7 dni</w:t>
      </w:r>
      <w:r>
        <w:rPr>
          <w:szCs w:val="24"/>
        </w:rPr>
        <w:t xml:space="preserve"> od akceptacji projektu budowlanego przez Zamawiającego;</w:t>
      </w:r>
    </w:p>
    <w:p w:rsidR="00F14640" w:rsidRPr="0005424E" w:rsidRDefault="00F14640" w:rsidP="00790B1A">
      <w:pPr>
        <w:pStyle w:val="Akapitzlist"/>
        <w:numPr>
          <w:ilvl w:val="0"/>
          <w:numId w:val="43"/>
        </w:numPr>
        <w:spacing w:after="120"/>
        <w:ind w:left="284" w:hanging="284"/>
        <w:contextualSpacing/>
        <w:jc w:val="both"/>
        <w:rPr>
          <w:szCs w:val="24"/>
        </w:rPr>
      </w:pPr>
      <w:r w:rsidRPr="0005424E">
        <w:rPr>
          <w:szCs w:val="24"/>
        </w:rPr>
        <w:t xml:space="preserve">projektów </w:t>
      </w:r>
      <w:r>
        <w:rPr>
          <w:szCs w:val="24"/>
        </w:rPr>
        <w:t>techniczn</w:t>
      </w:r>
      <w:r w:rsidRPr="0005424E">
        <w:rPr>
          <w:szCs w:val="24"/>
        </w:rPr>
        <w:t>ych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w:t>
      </w:r>
      <w:r w:rsidRPr="003F5CA2">
        <w:rPr>
          <w:b/>
          <w:szCs w:val="24"/>
        </w:rPr>
        <w:t>do 60</w:t>
      </w:r>
      <w:r w:rsidRPr="0005424E">
        <w:rPr>
          <w:szCs w:val="24"/>
        </w:rPr>
        <w:t xml:space="preserve"> </w:t>
      </w:r>
      <w:r w:rsidRPr="003F5CA2">
        <w:rPr>
          <w:b/>
          <w:szCs w:val="24"/>
        </w:rPr>
        <w:t>dni</w:t>
      </w:r>
      <w:r w:rsidRPr="0005424E">
        <w:rPr>
          <w:szCs w:val="24"/>
        </w:rPr>
        <w:t xml:space="preserve"> 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F14640" w:rsidRDefault="00F14640" w:rsidP="00790B1A">
      <w:pPr>
        <w:pStyle w:val="Akapitzlist"/>
        <w:numPr>
          <w:ilvl w:val="0"/>
          <w:numId w:val="43"/>
        </w:numPr>
        <w:spacing w:after="120"/>
        <w:ind w:left="284" w:hanging="284"/>
        <w:contextualSpacing/>
        <w:jc w:val="both"/>
        <w:rPr>
          <w:szCs w:val="24"/>
        </w:rPr>
      </w:pPr>
      <w:r w:rsidRPr="008C60FA">
        <w:rPr>
          <w:szCs w:val="24"/>
        </w:rPr>
        <w:t xml:space="preserve">uzyskanie decyzji pozwolenia na budowę – w terminie administracyjnym </w:t>
      </w:r>
      <w:r w:rsidRPr="003F5CA2">
        <w:rPr>
          <w:b/>
          <w:szCs w:val="24"/>
        </w:rPr>
        <w:t>65 dni</w:t>
      </w:r>
      <w:r w:rsidRPr="008C60FA">
        <w:rPr>
          <w:szCs w:val="24"/>
        </w:rPr>
        <w:t xml:space="preserve"> 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r w:rsidR="00790B1A">
        <w:rPr>
          <w:szCs w:val="24"/>
        </w:rPr>
        <w:t>;</w:t>
      </w:r>
    </w:p>
    <w:p w:rsidR="00F14640" w:rsidRDefault="00F14640" w:rsidP="00790B1A">
      <w:pPr>
        <w:pStyle w:val="Akapitzlist"/>
        <w:numPr>
          <w:ilvl w:val="0"/>
          <w:numId w:val="43"/>
        </w:numPr>
        <w:spacing w:after="120"/>
        <w:ind w:left="284" w:hanging="284"/>
        <w:contextualSpacing/>
        <w:jc w:val="both"/>
        <w:rPr>
          <w:szCs w:val="24"/>
        </w:rPr>
      </w:pPr>
      <w:r>
        <w:rPr>
          <w:szCs w:val="24"/>
        </w:rPr>
        <w:t>przy zgłoszeniu robót nie wymagających pozwolenia na budowę uzyskanie jego akceptacji poprzez brak sprzeciwu;</w:t>
      </w:r>
    </w:p>
    <w:p w:rsidR="00F14640" w:rsidRDefault="00F14640" w:rsidP="00790B1A">
      <w:pPr>
        <w:pStyle w:val="Akapitzlist"/>
        <w:numPr>
          <w:ilvl w:val="0"/>
          <w:numId w:val="43"/>
        </w:numPr>
        <w:spacing w:after="120"/>
        <w:ind w:left="284" w:hanging="284"/>
        <w:contextualSpacing/>
        <w:jc w:val="both"/>
        <w:rPr>
          <w:szCs w:val="24"/>
        </w:rPr>
      </w:pPr>
      <w:r>
        <w:rPr>
          <w:szCs w:val="24"/>
        </w:rPr>
        <w:t xml:space="preserve">wykonanie robót budowlano-instalacyjnych – w terminie do </w:t>
      </w:r>
      <w:r w:rsidRPr="00A3758A">
        <w:rPr>
          <w:b/>
          <w:szCs w:val="24"/>
        </w:rPr>
        <w:t>60 dni</w:t>
      </w:r>
      <w:r>
        <w:rPr>
          <w:szCs w:val="24"/>
        </w:rPr>
        <w:t xml:space="preserve"> od przekazania placu budowy;</w:t>
      </w:r>
    </w:p>
    <w:p w:rsidR="00F14640" w:rsidRPr="0005424E" w:rsidRDefault="00F14640" w:rsidP="00790B1A">
      <w:pPr>
        <w:pStyle w:val="Akapitzlist"/>
        <w:numPr>
          <w:ilvl w:val="0"/>
          <w:numId w:val="43"/>
        </w:numPr>
        <w:spacing w:after="120"/>
        <w:ind w:left="284" w:hanging="284"/>
        <w:contextualSpacing/>
        <w:jc w:val="both"/>
        <w:rPr>
          <w:szCs w:val="24"/>
        </w:rPr>
      </w:pPr>
      <w:r w:rsidRPr="0005424E">
        <w:rPr>
          <w:szCs w:val="24"/>
        </w:rPr>
        <w:t xml:space="preserve">nadzór autorski w terminie </w:t>
      </w:r>
      <w:r w:rsidRPr="003F5CA2">
        <w:rPr>
          <w:b/>
          <w:szCs w:val="24"/>
        </w:rPr>
        <w:t>do 4 lat</w:t>
      </w:r>
      <w:r w:rsidRPr="0005424E">
        <w:rPr>
          <w:szCs w:val="24"/>
        </w:rPr>
        <w:t xml:space="preserve"> od odbioru dokumentacji projektowej i kosztorysowej bez uwag, chyba że roboty budowlane zrealizowane na podstawie zaprojektowanego utworu zostaną zakończone wcześniej. </w:t>
      </w:r>
      <w:r w:rsidR="00B614B8">
        <w:rPr>
          <w:szCs w:val="24"/>
        </w:rPr>
        <w:t>Nadzór autorski pełniony przez cały okres realizacji robót</w:t>
      </w:r>
      <w:r w:rsidRPr="0005424E">
        <w:rPr>
          <w:szCs w:val="24"/>
        </w:rPr>
        <w:t>;</w:t>
      </w:r>
    </w:p>
    <w:p w:rsidR="00F14640" w:rsidRPr="00AC5555" w:rsidRDefault="00F14640" w:rsidP="00790B1A">
      <w:pPr>
        <w:pStyle w:val="Akapitzlist"/>
        <w:numPr>
          <w:ilvl w:val="0"/>
          <w:numId w:val="43"/>
        </w:numPr>
        <w:spacing w:after="240" w:line="360" w:lineRule="auto"/>
        <w:ind w:left="284" w:hanging="284"/>
        <w:contextualSpacing/>
        <w:jc w:val="both"/>
        <w:rPr>
          <w:szCs w:val="24"/>
        </w:rPr>
      </w:pPr>
      <w:r w:rsidRPr="0005424E">
        <w:rPr>
          <w:szCs w:val="24"/>
        </w:rPr>
        <w:t>dokumentacji powykonawczej (odbiorowej) wraz ze zgłoszeniem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Dokumentację projektową należy wykonać w języku polskim zgodnie z obowiązującymi przepisami Prawa Budowlanego, warunkami technicznymi jakim powinny odpowiadać budynki i ich usytuowanie, sztuką </w:t>
      </w:r>
      <w:r w:rsidRPr="007F5235">
        <w:lastRenderedPageBreak/>
        <w:t>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lastRenderedPageBreak/>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Wykonawca ma obowiązek zorganizować i przeprowadzić roboty w sposób bezpieczny, niestwarzający zagrożenia dla osób przebywających na terenie robót. Szczególnie jest odpowiedzialny za prowadzenie robót 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 xml:space="preserve">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w:t>
      </w:r>
      <w:r w:rsidRPr="00BF1E10">
        <w:lastRenderedPageBreak/>
        <w:t>zbiórki i utylizacji odpadów. Należy uzgodnić z Administratorem Obiektu, czy wszystkie zdemontowane materiały wywieźć i zutylizować,</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 xml:space="preserve">próbę szczelności instalacji </w:t>
      </w:r>
      <w:r w:rsidR="007B704F">
        <w:t>chłodu</w:t>
      </w:r>
      <w:r w:rsidRPr="00DD65D3">
        <w:t>.</w:t>
      </w:r>
    </w:p>
    <w:p w:rsidR="00F84A13" w:rsidRPr="00276EAD" w:rsidRDefault="00F84A13" w:rsidP="00F84A13">
      <w:pPr>
        <w:pStyle w:val="Akapitzlist"/>
        <w:ind w:left="720"/>
        <w:jc w:val="both"/>
        <w:rPr>
          <w:b/>
          <w:sz w:val="8"/>
          <w:szCs w:val="8"/>
        </w:rPr>
      </w:pP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r w:rsidR="009D7283">
        <w:rPr>
          <w:bCs/>
          <w:sz w:val="20"/>
        </w:rPr>
        <w:t xml:space="preserve"> nr 86/2021</w:t>
      </w:r>
      <w:r w:rsidRPr="00D92B79">
        <w:rPr>
          <w:bCs/>
          <w:sz w:val="20"/>
        </w:rPr>
        <w:t>.</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w:t>
      </w:r>
      <w:r w:rsidR="009D7283">
        <w:rPr>
          <w:sz w:val="20"/>
        </w:rPr>
        <w:t>2</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w:t>
      </w:r>
      <w:r w:rsidRPr="009D7283">
        <w:rPr>
          <w:b/>
          <w:sz w:val="20"/>
          <w:u w:val="single"/>
        </w:rPr>
        <w:t>bez dodatkowego wynagrodzenia</w:t>
      </w:r>
      <w:r w:rsidRPr="00CE7D0A">
        <w:rPr>
          <w:sz w:val="20"/>
        </w:rPr>
        <w:t>.</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lastRenderedPageBreak/>
        <w:t xml:space="preserve">Przeprowadzenie badań, o których mowa w ust. </w:t>
      </w:r>
      <w:r w:rsidR="00B078E2">
        <w:rPr>
          <w:sz w:val="20"/>
        </w:rPr>
        <w:t>2</w:t>
      </w:r>
      <w:r w:rsidR="009D7283">
        <w:rPr>
          <w:sz w:val="20"/>
        </w:rPr>
        <w:t>6</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009D7283">
        <w:rPr>
          <w:lang w:eastAsia="en-US"/>
        </w:rPr>
        <w:t>, uzyskanie pozwolenia na budowę lub zgłoszenie robót nie wymagających pozwolenia budowę</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9D7283" w:rsidRPr="00D21F5D" w:rsidRDefault="009D7283" w:rsidP="009D7283">
      <w:pPr>
        <w:pStyle w:val="Akapitzlist"/>
        <w:numPr>
          <w:ilvl w:val="0"/>
          <w:numId w:val="44"/>
        </w:numPr>
        <w:spacing w:after="120" w:line="276" w:lineRule="auto"/>
        <w:ind w:left="851" w:hanging="425"/>
        <w:contextualSpacing/>
        <w:jc w:val="both"/>
        <w:rPr>
          <w:szCs w:val="24"/>
        </w:rPr>
      </w:pPr>
      <w:r w:rsidRPr="00D21F5D">
        <w:rPr>
          <w:b/>
          <w:szCs w:val="24"/>
        </w:rPr>
        <w:t>15%</w:t>
      </w:r>
      <w:r w:rsidRPr="00D21F5D">
        <w:rPr>
          <w:szCs w:val="24"/>
        </w:rPr>
        <w:t xml:space="preserve"> wartości przedmiotu zamówienia za wykonanie: inwentaryzacji w niezbędnym zakresie, koncepcji, projektu budowlanego i technicznego, kosztorysów inwestorskich, przedmiarów robót, zestawienia kosztorysów oraz </w:t>
      </w:r>
      <w:proofErr w:type="spellStart"/>
      <w:r w:rsidRPr="00D21F5D">
        <w:rPr>
          <w:szCs w:val="24"/>
        </w:rPr>
        <w:t>STWiOR</w:t>
      </w:r>
      <w:proofErr w:type="spellEnd"/>
      <w:r w:rsidRPr="00D21F5D">
        <w:rPr>
          <w:szCs w:val="24"/>
        </w:rPr>
        <w:t xml:space="preserve"> i przekazaniu Zamawiającemu</w:t>
      </w:r>
      <w:r>
        <w:rPr>
          <w:szCs w:val="24"/>
        </w:rPr>
        <w:t xml:space="preserve"> i uzyskaniu akceptacji Zamawiającego,</w:t>
      </w:r>
      <w:r w:rsidRPr="00D21F5D">
        <w:rPr>
          <w:szCs w:val="24"/>
        </w:rPr>
        <w:t xml:space="preserve"> po otrzymaniu ostatecznej decyzji pozwolenia na budowę lub zgłoszenia robót nie wymagających pozwolenia na budowę wraz z 2 </w:t>
      </w:r>
      <w:proofErr w:type="spellStart"/>
      <w:r w:rsidRPr="00D21F5D">
        <w:rPr>
          <w:szCs w:val="24"/>
        </w:rPr>
        <w:t>kpl</w:t>
      </w:r>
      <w:proofErr w:type="spellEnd"/>
      <w:r w:rsidRPr="00D21F5D">
        <w:rPr>
          <w:szCs w:val="24"/>
        </w:rPr>
        <w:t>. projektu budowlanego zatwierdzonego przez organ administracji architektoniczno-budowlanej;</w:t>
      </w:r>
    </w:p>
    <w:p w:rsidR="009D7283" w:rsidRDefault="009D7283" w:rsidP="009D7283">
      <w:pPr>
        <w:pStyle w:val="Akapitzlist"/>
        <w:numPr>
          <w:ilvl w:val="0"/>
          <w:numId w:val="44"/>
        </w:numPr>
        <w:spacing w:after="120" w:line="276" w:lineRule="auto"/>
        <w:ind w:left="851" w:hanging="425"/>
        <w:contextualSpacing/>
        <w:jc w:val="both"/>
        <w:rPr>
          <w:szCs w:val="24"/>
        </w:rPr>
      </w:pPr>
      <w:r w:rsidRPr="00D21F5D">
        <w:rPr>
          <w:b/>
          <w:szCs w:val="24"/>
        </w:rPr>
        <w:t>85%</w:t>
      </w:r>
      <w:r w:rsidRPr="00D21F5D">
        <w:rPr>
          <w:szCs w:val="24"/>
        </w:rPr>
        <w:t xml:space="preserve"> wartości przedmiotu zamówienia po wykonaniu robót budowlanych </w:t>
      </w:r>
      <w:r w:rsidR="00B614B8">
        <w:rPr>
          <w:szCs w:val="24"/>
        </w:rPr>
        <w:t xml:space="preserve">wraz z pełnieniem nadzoru autorskiego oraz po </w:t>
      </w:r>
      <w:r w:rsidRPr="00D21F5D">
        <w:rPr>
          <w:szCs w:val="24"/>
        </w:rPr>
        <w:t xml:space="preserve">odebraniu </w:t>
      </w:r>
      <w:r w:rsidR="00B614B8">
        <w:rPr>
          <w:szCs w:val="24"/>
        </w:rPr>
        <w:t xml:space="preserve">robót </w:t>
      </w:r>
      <w:r w:rsidR="00B614B8" w:rsidRPr="00B614B8">
        <w:rPr>
          <w:b/>
          <w:szCs w:val="24"/>
        </w:rPr>
        <w:t>bez uwag</w:t>
      </w:r>
      <w:r w:rsidR="00B614B8">
        <w:rPr>
          <w:szCs w:val="24"/>
        </w:rPr>
        <w:t>.</w:t>
      </w:r>
    </w:p>
    <w:p w:rsidR="00A21239" w:rsidRPr="00A21239" w:rsidRDefault="00A21239" w:rsidP="00A21239">
      <w:pPr>
        <w:pStyle w:val="Akapitzlist"/>
        <w:spacing w:after="120" w:line="276" w:lineRule="auto"/>
        <w:ind w:left="851"/>
        <w:contextualSpacing/>
        <w:jc w:val="both"/>
        <w:rPr>
          <w:sz w:val="6"/>
          <w:szCs w:val="6"/>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104D47" w:rsidRPr="00104D47"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w:t>
      </w:r>
      <w:r w:rsidR="00B614B8">
        <w:rPr>
          <w:b w:val="0"/>
        </w:rPr>
        <w:t>w dwóch etapach</w:t>
      </w:r>
      <w:r w:rsidRPr="00CE7D0A">
        <w:rPr>
          <w:b w:val="0"/>
        </w:rPr>
        <w:t xml:space="preserve">, po pisemnym zgłoszeniu </w:t>
      </w:r>
      <w:r w:rsidRPr="00CE7D0A">
        <w:t xml:space="preserve">Wykonawcy </w:t>
      </w:r>
      <w:r w:rsidRPr="00CE7D0A">
        <w:rPr>
          <w:b w:val="0"/>
        </w:rPr>
        <w:t>o zakończeniu robót</w:t>
      </w:r>
      <w:r w:rsidR="00104D47">
        <w:rPr>
          <w:b w:val="0"/>
        </w:rPr>
        <w:t>:</w:t>
      </w:r>
    </w:p>
    <w:p w:rsidR="00104D47" w:rsidRDefault="00104D47" w:rsidP="00104D47">
      <w:pPr>
        <w:pStyle w:val="Nagwek4"/>
        <w:numPr>
          <w:ilvl w:val="0"/>
          <w:numId w:val="47"/>
        </w:numPr>
        <w:ind w:left="709" w:hanging="283"/>
        <w:rPr>
          <w:b w:val="0"/>
        </w:rPr>
      </w:pPr>
      <w:r>
        <w:rPr>
          <w:b w:val="0"/>
        </w:rPr>
        <w:t>I etap po wykonaniu dokumentacji projektowej i kosztorysowej,</w:t>
      </w:r>
    </w:p>
    <w:p w:rsidR="006F49D4" w:rsidRPr="00CE7D0A" w:rsidRDefault="00104D47" w:rsidP="00104D47">
      <w:pPr>
        <w:pStyle w:val="Nagwek4"/>
        <w:numPr>
          <w:ilvl w:val="0"/>
          <w:numId w:val="47"/>
        </w:numPr>
        <w:ind w:left="709" w:hanging="283"/>
      </w:pPr>
      <w:r>
        <w:rPr>
          <w:b w:val="0"/>
        </w:rPr>
        <w:t>II etap po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6F49D4"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A21239" w:rsidRPr="00CE7D0A" w:rsidRDefault="00A21239" w:rsidP="002733DA">
      <w:pPr>
        <w:pStyle w:val="Tekstpodstawowywcity"/>
        <w:tabs>
          <w:tab w:val="left" w:pos="720"/>
          <w:tab w:val="left" w:pos="1080"/>
        </w:tabs>
        <w:ind w:left="0" w:firstLine="0"/>
        <w:jc w:val="center"/>
        <w:rPr>
          <w:b/>
          <w:sz w:val="20"/>
        </w:rPr>
      </w:pPr>
    </w:p>
    <w:p w:rsidR="00566BE3" w:rsidRPr="00566BE3" w:rsidRDefault="00566BE3" w:rsidP="00411AD3">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 xml:space="preserve">na roboty budowlane, których </w:t>
      </w:r>
      <w:r w:rsidRPr="00566BE3">
        <w:rPr>
          <w:szCs w:val="24"/>
        </w:rPr>
        <w:lastRenderedPageBreak/>
        <w:t>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411AD3">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 xml:space="preserve">Inwentaryzację w niezbędnym zakresie oraz koncepcję do uzgodnienia – </w:t>
      </w:r>
      <w:r w:rsidRPr="009D7283">
        <w:rPr>
          <w:b/>
          <w:szCs w:val="24"/>
        </w:rPr>
        <w:t>2 </w:t>
      </w:r>
      <w:proofErr w:type="spellStart"/>
      <w:r w:rsidR="00104D47">
        <w:rPr>
          <w:b/>
          <w:szCs w:val="24"/>
        </w:rPr>
        <w:t>kpl</w:t>
      </w:r>
      <w:proofErr w:type="spellEnd"/>
      <w:r w:rsidRPr="009D7283">
        <w:rPr>
          <w:b/>
          <w:szCs w:val="24"/>
        </w:rPr>
        <w:t>.</w:t>
      </w:r>
      <w:r w:rsidRPr="009D7283">
        <w:rPr>
          <w:szCs w:val="24"/>
        </w:rPr>
        <w:t xml:space="preserve"> w formie papierowej oraz </w:t>
      </w:r>
      <w:r w:rsidRPr="009D7283">
        <w:rPr>
          <w:b/>
          <w:szCs w:val="24"/>
        </w:rPr>
        <w:t>2 egz.</w:t>
      </w:r>
      <w:r w:rsidRPr="009D7283">
        <w:rPr>
          <w:szCs w:val="24"/>
        </w:rPr>
        <w:t xml:space="preserve"> w formie elektronicznej w formatach MPP lub XLS, PDF i DWG na </w:t>
      </w:r>
      <w:proofErr w:type="spellStart"/>
      <w:r w:rsidRPr="009D7283">
        <w:rPr>
          <w:szCs w:val="24"/>
        </w:rPr>
        <w:t>pen-drivach</w:t>
      </w:r>
      <w:proofErr w:type="spellEnd"/>
      <w:r w:rsidRPr="009D7283">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 xml:space="preserve">projekty budowlany i techniczne – </w:t>
      </w:r>
      <w:r w:rsidRPr="009D7283">
        <w:rPr>
          <w:b/>
          <w:szCs w:val="24"/>
        </w:rPr>
        <w:t xml:space="preserve">5 </w:t>
      </w:r>
      <w:proofErr w:type="spellStart"/>
      <w:r w:rsidRPr="009D7283">
        <w:rPr>
          <w:b/>
          <w:szCs w:val="24"/>
        </w:rPr>
        <w:t>kpl</w:t>
      </w:r>
      <w:proofErr w:type="spellEnd"/>
      <w:r w:rsidRPr="009D7283">
        <w:rPr>
          <w:szCs w:val="24"/>
        </w:rPr>
        <w:t xml:space="preserve">. w formie papierowej (niezależnie od ilości złożonej organowi administracji architektoniczno-budowlanej) oraz </w:t>
      </w:r>
      <w:r w:rsidRPr="009D7283">
        <w:rPr>
          <w:b/>
          <w:szCs w:val="24"/>
        </w:rPr>
        <w:t>2 egz.</w:t>
      </w:r>
      <w:r w:rsidRPr="009D7283">
        <w:rPr>
          <w:szCs w:val="24"/>
        </w:rPr>
        <w:t xml:space="preserve"> w formie elektronicznej w formatach PDF i DWG na </w:t>
      </w:r>
      <w:proofErr w:type="spellStart"/>
      <w:r w:rsidRPr="009D7283">
        <w:rPr>
          <w:szCs w:val="24"/>
        </w:rPr>
        <w:t>pen-drivach</w:t>
      </w:r>
      <w:proofErr w:type="spellEnd"/>
      <w:r w:rsidRPr="009D7283">
        <w:rPr>
          <w:szCs w:val="24"/>
        </w:rPr>
        <w:t xml:space="preserve">;  </w:t>
      </w:r>
    </w:p>
    <w:p w:rsidR="009D7283" w:rsidRPr="009D7283" w:rsidRDefault="009D7283" w:rsidP="009D7283">
      <w:pPr>
        <w:numPr>
          <w:ilvl w:val="0"/>
          <w:numId w:val="45"/>
        </w:numPr>
        <w:spacing w:before="120"/>
        <w:ind w:left="426" w:hanging="426"/>
        <w:jc w:val="both"/>
        <w:rPr>
          <w:szCs w:val="24"/>
        </w:rPr>
      </w:pPr>
      <w:r w:rsidRPr="009D7283">
        <w:rPr>
          <w:szCs w:val="24"/>
        </w:rPr>
        <w:t xml:space="preserve">kosztorysy inwestorskie, przedmiary robót oraz zestawienie kosztorysów – </w:t>
      </w:r>
      <w:r w:rsidRPr="009D7283">
        <w:rPr>
          <w:b/>
          <w:szCs w:val="24"/>
        </w:rPr>
        <w:t xml:space="preserve">2 </w:t>
      </w:r>
      <w:proofErr w:type="spellStart"/>
      <w:r w:rsidRPr="009D7283">
        <w:rPr>
          <w:b/>
          <w:szCs w:val="24"/>
        </w:rPr>
        <w:t>kpl</w:t>
      </w:r>
      <w:proofErr w:type="spellEnd"/>
      <w:r w:rsidRPr="009D7283">
        <w:rPr>
          <w:szCs w:val="24"/>
        </w:rPr>
        <w:t xml:space="preserve">. w formie papierowej </w:t>
      </w:r>
      <w:r>
        <w:rPr>
          <w:szCs w:val="24"/>
        </w:rPr>
        <w:br/>
      </w:r>
      <w:r w:rsidRPr="009D7283">
        <w:rPr>
          <w:szCs w:val="24"/>
        </w:rPr>
        <w:t xml:space="preserve">i elektronicznej w formatach PDF, ATH i XLS na </w:t>
      </w:r>
      <w:proofErr w:type="spellStart"/>
      <w:r w:rsidRPr="009D7283">
        <w:rPr>
          <w:szCs w:val="24"/>
        </w:rPr>
        <w:t>pen-drivach</w:t>
      </w:r>
      <w:proofErr w:type="spellEnd"/>
      <w:r w:rsidRPr="009D7283">
        <w:rPr>
          <w:szCs w:val="24"/>
        </w:rPr>
        <w:t>;</w:t>
      </w:r>
    </w:p>
    <w:p w:rsidR="009D7283" w:rsidRPr="009D7283" w:rsidRDefault="009D7283" w:rsidP="009D7283">
      <w:pPr>
        <w:numPr>
          <w:ilvl w:val="0"/>
          <w:numId w:val="45"/>
        </w:numPr>
        <w:spacing w:before="120"/>
        <w:ind w:left="426" w:hanging="426"/>
        <w:jc w:val="both"/>
        <w:rPr>
          <w:szCs w:val="24"/>
        </w:rPr>
      </w:pPr>
      <w:r w:rsidRPr="009D7283">
        <w:rPr>
          <w:szCs w:val="24"/>
        </w:rPr>
        <w:t>specyfikacje techniczne wykonania i odbioru robót (</w:t>
      </w:r>
      <w:proofErr w:type="spellStart"/>
      <w:r w:rsidRPr="009D7283">
        <w:rPr>
          <w:szCs w:val="24"/>
        </w:rPr>
        <w:t>STWiOR</w:t>
      </w:r>
      <w:proofErr w:type="spellEnd"/>
      <w:r w:rsidRPr="009D7283">
        <w:rPr>
          <w:szCs w:val="24"/>
        </w:rPr>
        <w:t xml:space="preserve">) dla wszystkich branż kosztorysów – </w:t>
      </w:r>
      <w:r w:rsidRPr="009D7283">
        <w:rPr>
          <w:b/>
          <w:szCs w:val="24"/>
        </w:rPr>
        <w:t xml:space="preserve">2 </w:t>
      </w:r>
      <w:proofErr w:type="spellStart"/>
      <w:r w:rsidRPr="009D7283">
        <w:rPr>
          <w:b/>
          <w:szCs w:val="24"/>
        </w:rPr>
        <w:t>kpl</w:t>
      </w:r>
      <w:proofErr w:type="spellEnd"/>
      <w:r w:rsidRPr="009D7283">
        <w:rPr>
          <w:szCs w:val="24"/>
        </w:rPr>
        <w:t xml:space="preserve">. </w:t>
      </w:r>
      <w:r>
        <w:rPr>
          <w:szCs w:val="24"/>
        </w:rPr>
        <w:br/>
      </w:r>
      <w:r w:rsidRPr="009D7283">
        <w:rPr>
          <w:szCs w:val="24"/>
        </w:rPr>
        <w:t>w formie papierowej i elektronicznej w formatach PDF i DOC na </w:t>
      </w:r>
      <w:proofErr w:type="spellStart"/>
      <w:r w:rsidRPr="009D7283">
        <w:rPr>
          <w:szCs w:val="24"/>
        </w:rPr>
        <w:t>pen-drivach</w:t>
      </w:r>
      <w:proofErr w:type="spellEnd"/>
      <w:r w:rsidRPr="009D7283">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lastRenderedPageBreak/>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411AD3">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xml:space="preserve">- </w:t>
      </w:r>
      <w:r w:rsidR="008A0213">
        <w:t>protokoły przeszkoleń personelu Zamawiającego,</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r w:rsidR="00104D47">
        <w:t xml:space="preserve"> i dostarczyć dokument potwierdzający ich utylizację</w:t>
      </w:r>
      <w:r w:rsidRPr="00CE7D0A">
        <w:t>.</w:t>
      </w:r>
    </w:p>
    <w:p w:rsidR="009544EF" w:rsidRDefault="009544EF" w:rsidP="00116DFD">
      <w:pPr>
        <w:pStyle w:val="Tekstpodstawowywcity"/>
        <w:tabs>
          <w:tab w:val="left" w:pos="720"/>
          <w:tab w:val="left" w:pos="1080"/>
        </w:tabs>
        <w:ind w:left="0" w:firstLine="0"/>
        <w:jc w:val="both"/>
        <w:rPr>
          <w:b/>
          <w:bCs/>
          <w:color w:val="FF0000"/>
          <w:sz w:val="20"/>
        </w:rPr>
      </w:pPr>
    </w:p>
    <w:p w:rsidR="00A21239" w:rsidRDefault="00A21239" w:rsidP="00116DFD">
      <w:pPr>
        <w:pStyle w:val="Tekstpodstawowywcity"/>
        <w:tabs>
          <w:tab w:val="left" w:pos="720"/>
          <w:tab w:val="left" w:pos="1080"/>
        </w:tabs>
        <w:ind w:left="0" w:firstLine="0"/>
        <w:jc w:val="both"/>
        <w:rPr>
          <w:b/>
          <w:bCs/>
          <w:color w:val="FF0000"/>
          <w:sz w:val="20"/>
        </w:rPr>
      </w:pPr>
    </w:p>
    <w:p w:rsidR="00A21239" w:rsidRPr="00CE7D0A" w:rsidRDefault="00A21239" w:rsidP="00116DFD">
      <w:pPr>
        <w:pStyle w:val="Tekstpodstawowywcity"/>
        <w:tabs>
          <w:tab w:val="left" w:pos="720"/>
          <w:tab w:val="left" w:pos="1080"/>
        </w:tabs>
        <w:ind w:left="0" w:firstLine="0"/>
        <w:jc w:val="both"/>
        <w:rPr>
          <w:b/>
          <w:bCs/>
          <w:color w:val="FF0000"/>
          <w:sz w:val="20"/>
        </w:rPr>
      </w:pPr>
      <w:bookmarkStart w:id="2" w:name="_GoBack"/>
      <w:bookmarkEnd w:id="2"/>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lastRenderedPageBreak/>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w:t>
      </w:r>
      <w:r w:rsidR="00F14640">
        <w:rPr>
          <w:sz w:val="20"/>
        </w:rPr>
        <w:t>0</w:t>
      </w:r>
      <w:r w:rsidR="00E46D4B">
        <w:rPr>
          <w:sz w:val="20"/>
        </w:rPr>
        <w:t>1</w:t>
      </w:r>
      <w:r w:rsidR="00F14640">
        <w:rPr>
          <w:sz w:val="20"/>
        </w:rPr>
        <w:t>.2023</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w:t>
      </w:r>
      <w:r w:rsidR="00F14640">
        <w:t>0</w:t>
      </w:r>
      <w:r w:rsidR="00E46D4B">
        <w:t>1</w:t>
      </w:r>
      <w:r w:rsidR="00F14640">
        <w:t>.2023</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lastRenderedPageBreak/>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lastRenderedPageBreak/>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lastRenderedPageBreak/>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21239">
      <w:rPr>
        <w:rStyle w:val="Numerstrony"/>
        <w:noProof/>
      </w:rPr>
      <w:t>10</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C82D05">
      <w:rPr>
        <w:b/>
        <w:i/>
        <w:color w:val="000099"/>
        <w:sz w:val="18"/>
        <w:szCs w:val="18"/>
      </w:rPr>
      <w:t>10</w:t>
    </w:r>
    <w:r w:rsidR="003E655D">
      <w:rPr>
        <w:b/>
        <w:i/>
        <w:color w:val="000099"/>
        <w:sz w:val="18"/>
        <w:szCs w:val="18"/>
      </w:rPr>
      <w:t>61</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DE3680D"/>
    <w:multiLevelType w:val="hybridMultilevel"/>
    <w:tmpl w:val="1F5463F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15571"/>
    <w:multiLevelType w:val="hybridMultilevel"/>
    <w:tmpl w:val="0FCEA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82968"/>
    <w:multiLevelType w:val="hybridMultilevel"/>
    <w:tmpl w:val="656A3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3"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A387A"/>
    <w:multiLevelType w:val="hybridMultilevel"/>
    <w:tmpl w:val="9CFA8A2C"/>
    <w:lvl w:ilvl="0" w:tplc="04150011">
      <w:start w:val="1"/>
      <w:numFmt w:val="decimal"/>
      <w:lvlText w:val="%1)"/>
      <w:lvlJc w:val="left"/>
      <w:pPr>
        <w:ind w:left="502"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F3499"/>
    <w:multiLevelType w:val="hybridMultilevel"/>
    <w:tmpl w:val="25F0E354"/>
    <w:lvl w:ilvl="0" w:tplc="5A0E47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EB09ED"/>
    <w:multiLevelType w:val="hybridMultilevel"/>
    <w:tmpl w:val="DFEC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2"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
  </w:num>
  <w:num w:numId="3">
    <w:abstractNumId w:val="40"/>
  </w:num>
  <w:num w:numId="4">
    <w:abstractNumId w:val="29"/>
  </w:num>
  <w:num w:numId="5">
    <w:abstractNumId w:val="22"/>
  </w:num>
  <w:num w:numId="6">
    <w:abstractNumId w:val="34"/>
  </w:num>
  <w:num w:numId="7">
    <w:abstractNumId w:val="1"/>
  </w:num>
  <w:num w:numId="8">
    <w:abstractNumId w:val="14"/>
  </w:num>
  <w:num w:numId="9">
    <w:abstractNumId w:val="39"/>
  </w:num>
  <w:num w:numId="10">
    <w:abstractNumId w:val="45"/>
  </w:num>
  <w:num w:numId="11">
    <w:abstractNumId w:val="37"/>
  </w:num>
  <w:num w:numId="12">
    <w:abstractNumId w:val="36"/>
  </w:num>
  <w:num w:numId="13">
    <w:abstractNumId w:val="6"/>
  </w:num>
  <w:num w:numId="14">
    <w:abstractNumId w:val="7"/>
  </w:num>
  <w:num w:numId="15">
    <w:abstractNumId w:val="38"/>
  </w:num>
  <w:num w:numId="16">
    <w:abstractNumId w:val="18"/>
  </w:num>
  <w:num w:numId="17">
    <w:abstractNumId w:val="0"/>
  </w:num>
  <w:num w:numId="18">
    <w:abstractNumId w:val="15"/>
  </w:num>
  <w:num w:numId="19">
    <w:abstractNumId w:val="2"/>
  </w:num>
  <w:num w:numId="20">
    <w:abstractNumId w:val="25"/>
  </w:num>
  <w:num w:numId="21">
    <w:abstractNumId w:val="11"/>
  </w:num>
  <w:num w:numId="22">
    <w:abstractNumId w:val="32"/>
  </w:num>
  <w:num w:numId="23">
    <w:abstractNumId w:val="16"/>
  </w:num>
  <w:num w:numId="24">
    <w:abstractNumId w:val="21"/>
  </w:num>
  <w:num w:numId="25">
    <w:abstractNumId w:val="43"/>
  </w:num>
  <w:num w:numId="26">
    <w:abstractNumId w:val="27"/>
  </w:num>
  <w:num w:numId="27">
    <w:abstractNumId w:val="10"/>
  </w:num>
  <w:num w:numId="28">
    <w:abstractNumId w:val="44"/>
  </w:num>
  <w:num w:numId="29">
    <w:abstractNumId w:val="46"/>
  </w:num>
  <w:num w:numId="30">
    <w:abstractNumId w:val="12"/>
  </w:num>
  <w:num w:numId="31">
    <w:abstractNumId w:val="23"/>
  </w:num>
  <w:num w:numId="32">
    <w:abstractNumId w:val="8"/>
  </w:num>
  <w:num w:numId="33">
    <w:abstractNumId w:val="35"/>
  </w:num>
  <w:num w:numId="34">
    <w:abstractNumId w:val="8"/>
    <w:lvlOverride w:ilvl="0">
      <w:startOverride w:val="1"/>
    </w:lvlOverride>
  </w:num>
  <w:num w:numId="35">
    <w:abstractNumId w:val="20"/>
  </w:num>
  <w:num w:numId="36">
    <w:abstractNumId w:val="17"/>
  </w:num>
  <w:num w:numId="37">
    <w:abstractNumId w:val="13"/>
  </w:num>
  <w:num w:numId="38">
    <w:abstractNumId w:val="30"/>
  </w:num>
  <w:num w:numId="39">
    <w:abstractNumId w:val="33"/>
  </w:num>
  <w:num w:numId="40">
    <w:abstractNumId w:val="42"/>
  </w:num>
  <w:num w:numId="41">
    <w:abstractNumId w:val="26"/>
  </w:num>
  <w:num w:numId="42">
    <w:abstractNumId w:val="31"/>
  </w:num>
  <w:num w:numId="43">
    <w:abstractNumId w:val="24"/>
  </w:num>
  <w:num w:numId="44">
    <w:abstractNumId w:val="19"/>
  </w:num>
  <w:num w:numId="45">
    <w:abstractNumId w:val="5"/>
  </w:num>
  <w:num w:numId="46">
    <w:abstractNumId w:val="9"/>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04D47"/>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3E655D"/>
    <w:rsid w:val="00405EF4"/>
    <w:rsid w:val="00411AD3"/>
    <w:rsid w:val="00423D74"/>
    <w:rsid w:val="0043635B"/>
    <w:rsid w:val="004602D4"/>
    <w:rsid w:val="00472EE8"/>
    <w:rsid w:val="004762AC"/>
    <w:rsid w:val="00485C13"/>
    <w:rsid w:val="004B72EE"/>
    <w:rsid w:val="004C2A1D"/>
    <w:rsid w:val="004F65A9"/>
    <w:rsid w:val="00507AD5"/>
    <w:rsid w:val="00566BE3"/>
    <w:rsid w:val="00574475"/>
    <w:rsid w:val="00582A73"/>
    <w:rsid w:val="00585134"/>
    <w:rsid w:val="00585B19"/>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0B1A"/>
    <w:rsid w:val="00792314"/>
    <w:rsid w:val="00797F3E"/>
    <w:rsid w:val="007B704F"/>
    <w:rsid w:val="007F36E4"/>
    <w:rsid w:val="00877EC0"/>
    <w:rsid w:val="00894E88"/>
    <w:rsid w:val="008A0213"/>
    <w:rsid w:val="008A1704"/>
    <w:rsid w:val="00900B41"/>
    <w:rsid w:val="009544EF"/>
    <w:rsid w:val="009859C4"/>
    <w:rsid w:val="00997EF2"/>
    <w:rsid w:val="009D7283"/>
    <w:rsid w:val="009F59E7"/>
    <w:rsid w:val="00A06558"/>
    <w:rsid w:val="00A129DB"/>
    <w:rsid w:val="00A1775F"/>
    <w:rsid w:val="00A21239"/>
    <w:rsid w:val="00A252FE"/>
    <w:rsid w:val="00A34122"/>
    <w:rsid w:val="00A36945"/>
    <w:rsid w:val="00A6252B"/>
    <w:rsid w:val="00A93CBC"/>
    <w:rsid w:val="00AA54E4"/>
    <w:rsid w:val="00AB085A"/>
    <w:rsid w:val="00AE1B43"/>
    <w:rsid w:val="00AF553F"/>
    <w:rsid w:val="00AF66DD"/>
    <w:rsid w:val="00AF6B88"/>
    <w:rsid w:val="00B078E2"/>
    <w:rsid w:val="00B50B4E"/>
    <w:rsid w:val="00B614B8"/>
    <w:rsid w:val="00BA56CD"/>
    <w:rsid w:val="00BA6555"/>
    <w:rsid w:val="00BB6127"/>
    <w:rsid w:val="00BD60A5"/>
    <w:rsid w:val="00BE4E34"/>
    <w:rsid w:val="00BF1E10"/>
    <w:rsid w:val="00BF4424"/>
    <w:rsid w:val="00C16AC7"/>
    <w:rsid w:val="00C23358"/>
    <w:rsid w:val="00C23E89"/>
    <w:rsid w:val="00C40A50"/>
    <w:rsid w:val="00C6564B"/>
    <w:rsid w:val="00C71860"/>
    <w:rsid w:val="00C82D05"/>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46D4B"/>
    <w:rsid w:val="00E559F4"/>
    <w:rsid w:val="00EC492C"/>
    <w:rsid w:val="00ED7A9F"/>
    <w:rsid w:val="00EE2AF6"/>
    <w:rsid w:val="00F10827"/>
    <w:rsid w:val="00F14640"/>
    <w:rsid w:val="00F403D0"/>
    <w:rsid w:val="00F42AD9"/>
    <w:rsid w:val="00F84A13"/>
    <w:rsid w:val="00F92ECE"/>
    <w:rsid w:val="00F968F7"/>
    <w:rsid w:val="00FB2DA6"/>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D1722A8"/>
  <w15:chartTrackingRefBased/>
  <w15:docId w15:val="{A4674D05-43E9-4E5F-B447-C75B3E03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12</Pages>
  <Words>6668</Words>
  <Characters>40011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Beata Bernardelli</cp:lastModifiedBy>
  <cp:revision>8</cp:revision>
  <cp:lastPrinted>2021-12-20T06:44:00Z</cp:lastPrinted>
  <dcterms:created xsi:type="dcterms:W3CDTF">2019-02-28T12:38:00Z</dcterms:created>
  <dcterms:modified xsi:type="dcterms:W3CDTF">2021-12-20T07:01:00Z</dcterms:modified>
</cp:coreProperties>
</file>