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F55" w14:textId="0B8AFC3A" w:rsidR="00ED061C" w:rsidRPr="00526C99" w:rsidRDefault="00526C99" w:rsidP="00526C99">
      <w:pPr>
        <w:pStyle w:val="Nagwek1"/>
        <w:rPr>
          <w:smallCaps/>
        </w:rPr>
      </w:pPr>
      <w:bookmarkStart w:id="0" w:name="_Hlk73360814"/>
      <w:bookmarkStart w:id="1" w:name="_Hlk74657936"/>
      <w:r w:rsidRPr="00526C99">
        <w:rPr>
          <w:sz w:val="32"/>
          <w:szCs w:val="32"/>
        </w:rPr>
        <w:t>Zarządzenie nr</w:t>
      </w:r>
      <w:r w:rsidR="000B2573" w:rsidRPr="00526C99">
        <w:rPr>
          <w:caps/>
          <w:sz w:val="32"/>
          <w:szCs w:val="32"/>
        </w:rPr>
        <w:t xml:space="preserve"> </w:t>
      </w:r>
      <w:r w:rsidR="00695635" w:rsidRPr="00526C99">
        <w:rPr>
          <w:caps/>
          <w:sz w:val="32"/>
          <w:szCs w:val="32"/>
        </w:rPr>
        <w:t>67</w:t>
      </w:r>
      <w:r w:rsidRPr="00526C99">
        <w:rPr>
          <w:caps/>
          <w:sz w:val="32"/>
          <w:szCs w:val="32"/>
        </w:rPr>
        <w:br/>
      </w:r>
      <w:r w:rsidR="00F430A1" w:rsidRPr="00526C99">
        <w:t>Rektora</w:t>
      </w:r>
      <w:r w:rsidR="00ED061C" w:rsidRPr="00526C99">
        <w:t xml:space="preserve"> Zachodniopomorskiego Uniwersytetu Technologicznego w Szczecinie</w:t>
      </w:r>
      <w:r w:rsidRPr="00526C99">
        <w:br/>
      </w:r>
      <w:r w:rsidR="00ED061C" w:rsidRPr="00526C99">
        <w:t>z dni</w:t>
      </w:r>
      <w:r w:rsidR="0027546C" w:rsidRPr="00526C99">
        <w:t xml:space="preserve">a </w:t>
      </w:r>
      <w:r w:rsidR="00695635" w:rsidRPr="00526C99">
        <w:t xml:space="preserve">22 </w:t>
      </w:r>
      <w:r w:rsidR="0027546C" w:rsidRPr="00526C99">
        <w:t>czerwca 2023 r.</w:t>
      </w:r>
    </w:p>
    <w:p w14:paraId="4CD64707" w14:textId="3EC2AC3F" w:rsidR="00ED061C" w:rsidRPr="00526C99" w:rsidRDefault="006562D9" w:rsidP="00526C99">
      <w:pPr>
        <w:pStyle w:val="Nagwek2"/>
        <w:rPr>
          <w:smallCaps/>
        </w:rPr>
      </w:pPr>
      <w:r w:rsidRPr="00526C99">
        <w:t xml:space="preserve">w sprawie </w:t>
      </w:r>
      <w:r w:rsidR="0035507C" w:rsidRPr="00526C99">
        <w:t xml:space="preserve">Strategii </w:t>
      </w:r>
      <w:r w:rsidR="00F430A1" w:rsidRPr="00526C99">
        <w:t>Zarządzania Zasobami Ludzkimi</w:t>
      </w:r>
      <w:r w:rsidR="00F430A1" w:rsidRPr="00526C99">
        <w:br/>
        <w:t>w</w:t>
      </w:r>
      <w:r w:rsidR="0035507C" w:rsidRPr="00526C99">
        <w:t xml:space="preserve"> Zachodniopomorski</w:t>
      </w:r>
      <w:r w:rsidR="00F430A1" w:rsidRPr="00526C99">
        <w:t>m</w:t>
      </w:r>
      <w:r w:rsidR="0035507C" w:rsidRPr="00526C99">
        <w:t xml:space="preserve"> Uniwersyte</w:t>
      </w:r>
      <w:r w:rsidR="00F430A1" w:rsidRPr="00526C99">
        <w:t>cie</w:t>
      </w:r>
      <w:r w:rsidR="0035507C" w:rsidRPr="00526C99">
        <w:t xml:space="preserve"> </w:t>
      </w:r>
      <w:r w:rsidR="00F430A1" w:rsidRPr="00526C99">
        <w:t>Technologicznym</w:t>
      </w:r>
      <w:r w:rsidR="00C7494B" w:rsidRPr="00526C99">
        <w:t xml:space="preserve"> w Szczecinie</w:t>
      </w:r>
      <w:r w:rsidR="00F430A1" w:rsidRPr="00526C99">
        <w:br/>
      </w:r>
      <w:r w:rsidR="0035507C" w:rsidRPr="00526C99">
        <w:t>na lata 202</w:t>
      </w:r>
      <w:r w:rsidR="00624662" w:rsidRPr="00526C99">
        <w:t>3</w:t>
      </w:r>
      <w:r w:rsidR="0035507C" w:rsidRPr="00526C99">
        <w:t xml:space="preserve"> – 202</w:t>
      </w:r>
      <w:r w:rsidR="00624662" w:rsidRPr="00526C99">
        <w:t>6</w:t>
      </w:r>
    </w:p>
    <w:bookmarkEnd w:id="0"/>
    <w:p w14:paraId="4A2FCA97" w14:textId="12BB82CE" w:rsidR="00F430A1" w:rsidRPr="00526C99" w:rsidRDefault="00F430A1" w:rsidP="00526C99">
      <w:pPr>
        <w:spacing w:before="240" w:line="360" w:lineRule="auto"/>
        <w:rPr>
          <w:rFonts w:ascii="Calibri" w:hAnsi="Calibri"/>
          <w:b/>
          <w:smallCaps/>
          <w:sz w:val="24"/>
          <w:szCs w:val="24"/>
        </w:rPr>
      </w:pPr>
      <w:r w:rsidRPr="00526C99">
        <w:rPr>
          <w:rFonts w:ascii="Calibri" w:hAnsi="Calibri"/>
          <w:sz w:val="24"/>
          <w:szCs w:val="24"/>
        </w:rPr>
        <w:t>Na podstawie art. 23 ust. 2 pkt 7 ustawy z dnia 20 lipca 2018 r. Prawo o szkolnictwie wyższym i</w:t>
      </w:r>
      <w:r w:rsidR="0029714D" w:rsidRPr="00526C99">
        <w:rPr>
          <w:rFonts w:ascii="Calibri" w:hAnsi="Calibri"/>
          <w:sz w:val="24"/>
          <w:szCs w:val="24"/>
        </w:rPr>
        <w:t> </w:t>
      </w:r>
      <w:r w:rsidRPr="00526C99">
        <w:rPr>
          <w:rFonts w:ascii="Calibri" w:hAnsi="Calibri"/>
          <w:sz w:val="24"/>
          <w:szCs w:val="24"/>
        </w:rPr>
        <w:t>nauce (</w:t>
      </w:r>
      <w:r w:rsidR="00567DAD" w:rsidRPr="00526C99">
        <w:rPr>
          <w:rFonts w:ascii="Calibri" w:hAnsi="Calibri"/>
          <w:sz w:val="24"/>
          <w:szCs w:val="24"/>
        </w:rPr>
        <w:t xml:space="preserve">tekst jedn. </w:t>
      </w:r>
      <w:r w:rsidRPr="00526C99">
        <w:rPr>
          <w:rFonts w:ascii="Calibri" w:hAnsi="Calibri"/>
          <w:sz w:val="24"/>
          <w:szCs w:val="24"/>
        </w:rPr>
        <w:t>Dz. U. z 202</w:t>
      </w:r>
      <w:r w:rsidR="00591D39" w:rsidRPr="00526C99">
        <w:rPr>
          <w:rFonts w:ascii="Calibri" w:hAnsi="Calibri"/>
          <w:sz w:val="24"/>
          <w:szCs w:val="24"/>
        </w:rPr>
        <w:t>3</w:t>
      </w:r>
      <w:r w:rsidRPr="00526C99">
        <w:rPr>
          <w:rFonts w:ascii="Calibri" w:hAnsi="Calibri"/>
          <w:sz w:val="24"/>
          <w:szCs w:val="24"/>
        </w:rPr>
        <w:t xml:space="preserve"> r. poz. </w:t>
      </w:r>
      <w:r w:rsidR="00591D39" w:rsidRPr="00526C99">
        <w:rPr>
          <w:rFonts w:ascii="Calibri" w:hAnsi="Calibri"/>
          <w:sz w:val="24"/>
          <w:szCs w:val="24"/>
        </w:rPr>
        <w:t>742</w:t>
      </w:r>
      <w:r w:rsidRPr="00526C99">
        <w:rPr>
          <w:rFonts w:ascii="Calibri" w:hAnsi="Calibri"/>
          <w:sz w:val="24"/>
          <w:szCs w:val="24"/>
        </w:rPr>
        <w:t>, z późn.</w:t>
      </w:r>
      <w:r w:rsidR="00567DAD" w:rsidRPr="00526C99">
        <w:rPr>
          <w:rFonts w:ascii="Calibri" w:hAnsi="Calibri"/>
          <w:sz w:val="24"/>
          <w:szCs w:val="24"/>
        </w:rPr>
        <w:t xml:space="preserve"> </w:t>
      </w:r>
      <w:r w:rsidRPr="00526C99">
        <w:rPr>
          <w:rFonts w:ascii="Calibri" w:hAnsi="Calibri"/>
          <w:sz w:val="24"/>
          <w:szCs w:val="24"/>
        </w:rPr>
        <w:t>zm.) w związku ze Strategią rozwoju Zachodniopomorskiego Uniwersytetu Technologicznego w Szczecinie na lata 2021 – 2025 (uchwała</w:t>
      </w:r>
      <w:r w:rsidR="00526C99">
        <w:rPr>
          <w:rFonts w:ascii="Calibri" w:hAnsi="Calibri"/>
          <w:sz w:val="24"/>
          <w:szCs w:val="24"/>
        </w:rPr>
        <w:t> </w:t>
      </w:r>
      <w:r w:rsidRPr="00526C99">
        <w:rPr>
          <w:rFonts w:ascii="Calibri" w:hAnsi="Calibri"/>
          <w:sz w:val="24"/>
          <w:szCs w:val="24"/>
        </w:rPr>
        <w:t>nr</w:t>
      </w:r>
      <w:r w:rsidR="00526C99" w:rsidRPr="00526C99">
        <w:rPr>
          <w:rFonts w:ascii="Calibri" w:hAnsi="Calibri"/>
          <w:sz w:val="24"/>
          <w:szCs w:val="24"/>
        </w:rPr>
        <w:t> </w:t>
      </w:r>
      <w:r w:rsidRPr="00526C99">
        <w:rPr>
          <w:rFonts w:ascii="Calibri" w:hAnsi="Calibri"/>
          <w:sz w:val="24"/>
          <w:szCs w:val="24"/>
        </w:rPr>
        <w:t>164 Senatu ZUT z dnia 28 czerwca 2021 r.) zarządza się, co następuje:</w:t>
      </w:r>
    </w:p>
    <w:p w14:paraId="267BEA1C" w14:textId="77777777" w:rsidR="00F430A1" w:rsidRPr="00526C99" w:rsidRDefault="00F430A1" w:rsidP="00526C99">
      <w:pPr>
        <w:pStyle w:val="Nagwek2"/>
        <w:rPr>
          <w:smallCaps/>
        </w:rPr>
      </w:pPr>
      <w:r w:rsidRPr="00526C99">
        <w:t>§ 1.</w:t>
      </w:r>
    </w:p>
    <w:p w14:paraId="7AD0F32F" w14:textId="3EFCCF19" w:rsidR="00F430A1" w:rsidRPr="00526C99" w:rsidRDefault="00F430A1" w:rsidP="00526C99">
      <w:pPr>
        <w:spacing w:line="360" w:lineRule="auto"/>
        <w:rPr>
          <w:rFonts w:ascii="Calibri" w:eastAsiaTheme="minorHAnsi" w:hAnsi="Calibri"/>
          <w:b/>
          <w:smallCaps/>
          <w:sz w:val="24"/>
          <w:szCs w:val="24"/>
          <w:lang w:eastAsia="en-US"/>
        </w:rPr>
      </w:pPr>
      <w:r w:rsidRPr="00526C99">
        <w:rPr>
          <w:rFonts w:ascii="Calibri" w:eastAsiaTheme="minorHAnsi" w:hAnsi="Calibri"/>
          <w:sz w:val="24"/>
          <w:szCs w:val="24"/>
          <w:lang w:eastAsia="en-US"/>
        </w:rPr>
        <w:t>Wprowadza się Strategię Zarządzania Zasobami Ludzkimi w Zachodniopomorskim Uniwersytecie Technologicznym w Szczecinie na lata 202</w:t>
      </w:r>
      <w:r w:rsidR="008C5D02" w:rsidRPr="00526C99">
        <w:rPr>
          <w:rFonts w:ascii="Calibri" w:eastAsiaTheme="minorHAnsi" w:hAnsi="Calibri"/>
          <w:sz w:val="24"/>
          <w:szCs w:val="24"/>
          <w:lang w:eastAsia="en-US"/>
        </w:rPr>
        <w:t>3</w:t>
      </w:r>
      <w:r w:rsidRPr="00526C99">
        <w:rPr>
          <w:rFonts w:ascii="Calibri" w:eastAsiaTheme="minorHAnsi" w:hAnsi="Calibri"/>
          <w:sz w:val="24"/>
          <w:szCs w:val="24"/>
          <w:lang w:eastAsia="en-US"/>
        </w:rPr>
        <w:t xml:space="preserve"> – 202</w:t>
      </w:r>
      <w:r w:rsidR="008C5D02" w:rsidRPr="00526C99">
        <w:rPr>
          <w:rFonts w:ascii="Calibri" w:eastAsiaTheme="minorHAnsi" w:hAnsi="Calibri"/>
          <w:sz w:val="24"/>
          <w:szCs w:val="24"/>
          <w:lang w:eastAsia="en-US"/>
        </w:rPr>
        <w:t>6</w:t>
      </w:r>
      <w:r w:rsidR="00A72911" w:rsidRPr="00526C99">
        <w:rPr>
          <w:rFonts w:ascii="Calibri" w:eastAsiaTheme="minorHAnsi" w:hAnsi="Calibri"/>
          <w:sz w:val="24"/>
          <w:szCs w:val="24"/>
          <w:lang w:eastAsia="en-US"/>
        </w:rPr>
        <w:t>,</w:t>
      </w:r>
      <w:r w:rsidRPr="00526C99">
        <w:rPr>
          <w:rFonts w:ascii="Calibri" w:eastAsiaTheme="minorHAnsi" w:hAnsi="Calibri"/>
          <w:sz w:val="24"/>
          <w:szCs w:val="24"/>
          <w:lang w:eastAsia="en-US"/>
        </w:rPr>
        <w:t xml:space="preserve"> stanowi</w:t>
      </w:r>
      <w:r w:rsidR="00B7424F" w:rsidRPr="00526C99">
        <w:rPr>
          <w:rFonts w:ascii="Calibri" w:eastAsiaTheme="minorHAnsi" w:hAnsi="Calibri"/>
          <w:sz w:val="24"/>
          <w:szCs w:val="24"/>
          <w:lang w:eastAsia="en-US"/>
        </w:rPr>
        <w:t>ąc</w:t>
      </w:r>
      <w:r w:rsidR="00AC653B" w:rsidRPr="00526C99">
        <w:rPr>
          <w:rFonts w:ascii="Calibri" w:eastAsiaTheme="minorHAnsi" w:hAnsi="Calibri"/>
          <w:sz w:val="24"/>
          <w:szCs w:val="24"/>
          <w:lang w:eastAsia="en-US"/>
        </w:rPr>
        <w:t>ą</w:t>
      </w:r>
      <w:r w:rsidRPr="00526C99">
        <w:rPr>
          <w:rFonts w:ascii="Calibri" w:eastAsiaTheme="minorHAnsi" w:hAnsi="Calibri"/>
          <w:sz w:val="24"/>
          <w:szCs w:val="24"/>
          <w:lang w:eastAsia="en-US"/>
        </w:rPr>
        <w:t xml:space="preserve"> załącznik do zarządzenia. </w:t>
      </w:r>
    </w:p>
    <w:p w14:paraId="3D0E4910" w14:textId="77777777" w:rsidR="00F430A1" w:rsidRPr="00526C99" w:rsidRDefault="00F430A1" w:rsidP="00526C99">
      <w:pPr>
        <w:pStyle w:val="Nagwek2"/>
        <w:rPr>
          <w:smallCaps/>
        </w:rPr>
      </w:pPr>
      <w:r w:rsidRPr="00526C99">
        <w:t>§ 2.</w:t>
      </w:r>
    </w:p>
    <w:p w14:paraId="6815AF5F" w14:textId="77777777" w:rsidR="00F430A1" w:rsidRPr="00526C99" w:rsidRDefault="00F430A1" w:rsidP="00526C99">
      <w:pPr>
        <w:tabs>
          <w:tab w:val="left" w:pos="708"/>
          <w:tab w:val="left" w:pos="3544"/>
        </w:tabs>
        <w:spacing w:line="36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526C99">
        <w:rPr>
          <w:rFonts w:ascii="Calibri" w:hAnsi="Calibri"/>
          <w:sz w:val="24"/>
          <w:szCs w:val="24"/>
        </w:rPr>
        <w:t>Zarządzenie wchodzi w życie z dniem podpisania.</w:t>
      </w:r>
    </w:p>
    <w:p w14:paraId="4696C60C" w14:textId="0C81F75E" w:rsidR="00F430A1" w:rsidRPr="00526C99" w:rsidRDefault="00F430A1" w:rsidP="00526C99">
      <w:pPr>
        <w:spacing w:before="360" w:line="720" w:lineRule="auto"/>
        <w:ind w:left="4536"/>
        <w:jc w:val="center"/>
        <w:rPr>
          <w:rFonts w:ascii="Calibri" w:eastAsiaTheme="minorHAnsi" w:hAnsi="Calibri"/>
          <w:b/>
          <w:smallCaps/>
          <w:sz w:val="24"/>
          <w:szCs w:val="24"/>
          <w:lang w:eastAsia="en-US"/>
        </w:rPr>
      </w:pPr>
      <w:r w:rsidRPr="00526C99">
        <w:rPr>
          <w:rFonts w:ascii="Calibri" w:eastAsiaTheme="minorHAnsi" w:hAnsi="Calibri"/>
          <w:sz w:val="24"/>
          <w:szCs w:val="24"/>
          <w:lang w:eastAsia="en-US"/>
        </w:rPr>
        <w:t>Rektor</w:t>
      </w:r>
      <w:r w:rsidR="00526C99" w:rsidRPr="00526C99">
        <w:rPr>
          <w:rFonts w:ascii="Calibri" w:eastAsiaTheme="minorHAnsi" w:hAnsi="Calibri"/>
          <w:sz w:val="24"/>
          <w:szCs w:val="24"/>
          <w:lang w:eastAsia="en-US"/>
        </w:rPr>
        <w:br/>
      </w:r>
      <w:r w:rsidRPr="00526C99">
        <w:rPr>
          <w:rFonts w:ascii="Calibri" w:eastAsiaTheme="minorHAnsi" w:hAnsi="Calibri"/>
          <w:sz w:val="24"/>
          <w:szCs w:val="24"/>
          <w:lang w:eastAsia="en-US"/>
        </w:rPr>
        <w:t>dr hab. inż. Jacek Wróbel, prof. ZUT</w:t>
      </w:r>
    </w:p>
    <w:p w14:paraId="1D98C6EF" w14:textId="77777777" w:rsidR="004B38EB" w:rsidRPr="0083498E" w:rsidRDefault="00F430A1" w:rsidP="00EA505B">
      <w:pPr>
        <w:spacing w:line="259" w:lineRule="auto"/>
        <w:jc w:val="right"/>
        <w:rPr>
          <w:rFonts w:asciiTheme="minorHAnsi" w:eastAsiaTheme="minorHAnsi" w:hAnsiTheme="minorHAnsi" w:cstheme="minorBidi"/>
          <w:sz w:val="24"/>
          <w:szCs w:val="24"/>
          <w:lang w:val="de-DE" w:eastAsia="en-US"/>
        </w:rPr>
        <w:sectPr w:rsidR="004B38EB" w:rsidRPr="0083498E" w:rsidSect="00610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83498E">
        <w:rPr>
          <w:rFonts w:asciiTheme="minorHAnsi" w:eastAsiaTheme="minorHAnsi" w:hAnsiTheme="minorHAnsi" w:cstheme="minorBidi"/>
          <w:sz w:val="24"/>
          <w:szCs w:val="24"/>
          <w:lang w:val="de-DE" w:eastAsia="en-US"/>
        </w:rPr>
        <w:br w:type="page"/>
      </w:r>
    </w:p>
    <w:p w14:paraId="0B1B561B" w14:textId="7727F117" w:rsidR="008D02A3" w:rsidRPr="00EA505B" w:rsidRDefault="00F430A1" w:rsidP="00EA505B">
      <w:pPr>
        <w:spacing w:line="259" w:lineRule="auto"/>
        <w:jc w:val="right"/>
        <w:rPr>
          <w:rFonts w:eastAsiaTheme="minorHAnsi"/>
          <w:b/>
          <w:smallCaps/>
          <w:lang w:eastAsia="en-US"/>
        </w:rPr>
      </w:pPr>
      <w:r w:rsidRPr="00EA505B">
        <w:rPr>
          <w:rFonts w:eastAsiaTheme="minorHAnsi"/>
          <w:lang w:eastAsia="en-US"/>
        </w:rPr>
        <w:lastRenderedPageBreak/>
        <w:t>Załącznik</w:t>
      </w:r>
      <w:r w:rsidR="00EA505B">
        <w:rPr>
          <w:rFonts w:eastAsiaTheme="minorHAnsi"/>
          <w:lang w:eastAsia="en-US"/>
        </w:rPr>
        <w:br/>
      </w:r>
      <w:r w:rsidRPr="00EA505B">
        <w:rPr>
          <w:rFonts w:eastAsiaTheme="minorHAnsi"/>
          <w:lang w:eastAsia="en-US"/>
        </w:rPr>
        <w:t>do</w:t>
      </w:r>
      <w:r w:rsidR="00EA505B">
        <w:rPr>
          <w:rFonts w:eastAsiaTheme="minorHAnsi"/>
          <w:lang w:eastAsia="en-US"/>
        </w:rPr>
        <w:t xml:space="preserve"> </w:t>
      </w:r>
      <w:r w:rsidRPr="00EA505B">
        <w:rPr>
          <w:rFonts w:eastAsiaTheme="minorHAnsi"/>
          <w:lang w:eastAsia="en-US"/>
        </w:rPr>
        <w:t xml:space="preserve">zarządzenia nr </w:t>
      </w:r>
      <w:r w:rsidR="00695635">
        <w:rPr>
          <w:rFonts w:eastAsiaTheme="minorHAnsi"/>
          <w:lang w:eastAsia="en-US"/>
        </w:rPr>
        <w:t>67</w:t>
      </w:r>
      <w:r w:rsidR="00131A7A">
        <w:rPr>
          <w:rFonts w:eastAsiaTheme="minorHAnsi"/>
          <w:lang w:eastAsia="en-US"/>
        </w:rPr>
        <w:t xml:space="preserve"> </w:t>
      </w:r>
      <w:r w:rsidRPr="00EA505B">
        <w:rPr>
          <w:rFonts w:eastAsiaTheme="minorHAnsi"/>
          <w:lang w:eastAsia="en-US"/>
        </w:rPr>
        <w:t xml:space="preserve">Rektora ZUT z dnia </w:t>
      </w:r>
      <w:r w:rsidR="00695635">
        <w:rPr>
          <w:rFonts w:eastAsiaTheme="minorHAnsi"/>
          <w:lang w:eastAsia="en-US"/>
        </w:rPr>
        <w:t xml:space="preserve">22 czerwca </w:t>
      </w:r>
      <w:r w:rsidR="008C5D02">
        <w:rPr>
          <w:rFonts w:eastAsiaTheme="minorHAnsi"/>
          <w:lang w:eastAsia="en-US"/>
        </w:rPr>
        <w:t xml:space="preserve">2023 r. </w:t>
      </w:r>
    </w:p>
    <w:p w14:paraId="316185A7" w14:textId="0B258826" w:rsidR="00EA505B" w:rsidRPr="00ED41DA" w:rsidRDefault="008D02A3" w:rsidP="00ED41DA">
      <w:pPr>
        <w:spacing w:before="3000" w:line="360" w:lineRule="auto"/>
        <w:ind w:left="-964" w:right="-567"/>
        <w:jc w:val="center"/>
        <w:outlineLvl w:val="0"/>
        <w:rPr>
          <w:rFonts w:ascii="Calibri" w:eastAsia="MS Mincho" w:hAnsi="Calibri"/>
          <w:b/>
          <w:bCs/>
          <w:smallCaps/>
          <w:lang w:eastAsia="en-US"/>
        </w:rPr>
      </w:pPr>
      <w:r w:rsidRPr="00ED41DA">
        <w:rPr>
          <w:rFonts w:ascii="Calibri" w:eastAsia="MS Mincho" w:hAnsi="Calibri"/>
          <w:b/>
          <w:bCs/>
          <w:sz w:val="44"/>
          <w:szCs w:val="44"/>
          <w:lang w:eastAsia="en-US"/>
        </w:rPr>
        <w:t>Strategia</w:t>
      </w:r>
      <w:r w:rsidR="00F73B8C" w:rsidRPr="00ED41DA">
        <w:rPr>
          <w:rFonts w:ascii="Calibri" w:eastAsia="MS Mincho" w:hAnsi="Calibri"/>
          <w:b/>
          <w:bCs/>
          <w:sz w:val="44"/>
          <w:szCs w:val="44"/>
          <w:lang w:eastAsia="en-US"/>
        </w:rPr>
        <w:br/>
      </w:r>
      <w:r w:rsidR="00F73B8C"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>Z</w:t>
      </w:r>
      <w:r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 xml:space="preserve">arządzania </w:t>
      </w:r>
      <w:r w:rsidR="00F73B8C"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>Z</w:t>
      </w:r>
      <w:r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 xml:space="preserve">asobami </w:t>
      </w:r>
      <w:r w:rsidR="00F73B8C"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>L</w:t>
      </w:r>
      <w:r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t>udzkimi</w:t>
      </w:r>
      <w:r w:rsidR="001B17EF" w:rsidRPr="00ED41DA">
        <w:rPr>
          <w:rFonts w:ascii="Calibri" w:eastAsia="MS Mincho" w:hAnsi="Calibri"/>
          <w:b/>
          <w:bCs/>
          <w:sz w:val="40"/>
          <w:szCs w:val="40"/>
          <w:lang w:eastAsia="en-US"/>
        </w:rPr>
        <w:br/>
      </w:r>
      <w:r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>w Zachodniopomorskim Uniwersytecie Technologicznym</w:t>
      </w:r>
      <w:r w:rsidR="00974964"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 xml:space="preserve"> </w:t>
      </w:r>
      <w:r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>w Szczecinie</w:t>
      </w:r>
      <w:r w:rsidR="00974964"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br/>
      </w:r>
      <w:r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>na lata 202</w:t>
      </w:r>
      <w:r w:rsidR="008C5D02"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>3</w:t>
      </w:r>
      <w:r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 xml:space="preserve"> – 202</w:t>
      </w:r>
      <w:bookmarkStart w:id="2" w:name="_Toc42278670"/>
      <w:r w:rsidR="008C5D02" w:rsidRPr="00ED41DA">
        <w:rPr>
          <w:rFonts w:ascii="Calibri" w:eastAsia="MS Mincho" w:hAnsi="Calibri"/>
          <w:b/>
          <w:bCs/>
          <w:sz w:val="36"/>
          <w:szCs w:val="36"/>
          <w:lang w:eastAsia="en-US"/>
        </w:rPr>
        <w:t>6</w:t>
      </w:r>
      <w:r w:rsidR="00EA505B" w:rsidRPr="00ED41DA">
        <w:rPr>
          <w:rFonts w:ascii="Calibri" w:eastAsia="MS Mincho" w:hAnsi="Calibri" w:cs="Arial"/>
          <w:b/>
          <w:bCs/>
          <w:sz w:val="36"/>
          <w:szCs w:val="36"/>
          <w:lang w:eastAsia="en-US"/>
        </w:rPr>
        <w:br w:type="page"/>
      </w:r>
    </w:p>
    <w:p w14:paraId="6A7E92B9" w14:textId="02B142DB" w:rsidR="008D02A3" w:rsidRPr="00ED41DA" w:rsidRDefault="008D02A3" w:rsidP="00C85D74">
      <w:pPr>
        <w:spacing w:line="276" w:lineRule="auto"/>
        <w:rPr>
          <w:rFonts w:ascii="Calibri" w:eastAsia="Calibri" w:hAnsi="Calibri"/>
          <w:b/>
          <w:smallCaps/>
          <w:sz w:val="28"/>
          <w:szCs w:val="28"/>
          <w:lang w:eastAsia="en-US"/>
        </w:rPr>
      </w:pPr>
      <w:r w:rsidRPr="00ED41DA">
        <w:rPr>
          <w:rFonts w:ascii="Calibri" w:eastAsia="Calibri" w:hAnsi="Calibri"/>
          <w:b/>
          <w:sz w:val="28"/>
          <w:szCs w:val="28"/>
          <w:lang w:eastAsia="en-US"/>
        </w:rPr>
        <w:lastRenderedPageBreak/>
        <w:t>Spis treści</w:t>
      </w:r>
    </w:p>
    <w:sdt>
      <w:sdtPr>
        <w:rPr>
          <w:rFonts w:ascii="Calibri" w:hAnsi="Calibri"/>
          <w:bCs/>
          <w:smallCaps/>
        </w:rPr>
        <w:id w:val="-1137632642"/>
        <w:docPartObj>
          <w:docPartGallery w:val="Table of Contents"/>
          <w:docPartUnique/>
        </w:docPartObj>
      </w:sdtPr>
      <w:sdtEndPr>
        <w:rPr>
          <w:bCs w:val="0"/>
          <w:smallCaps w:val="0"/>
        </w:rPr>
      </w:sdtEndPr>
      <w:sdtContent>
        <w:p w14:paraId="023C8808" w14:textId="1CCEBA96" w:rsidR="00F41DA9" w:rsidRPr="00ED41DA" w:rsidRDefault="00B30226" w:rsidP="00782E96">
          <w:pPr>
            <w:pStyle w:val="Spistreci1"/>
            <w:rPr>
              <w:rFonts w:ascii="Calibri" w:eastAsiaTheme="minorEastAsia" w:hAnsi="Calibri"/>
            </w:rPr>
          </w:pPr>
          <w:r w:rsidRPr="00ED41DA">
            <w:rPr>
              <w:rFonts w:ascii="Calibri" w:hAnsi="Calibri"/>
              <w:bCs/>
            </w:rPr>
            <w:fldChar w:fldCharType="begin"/>
          </w:r>
          <w:r w:rsidRPr="00ED41DA">
            <w:rPr>
              <w:rFonts w:ascii="Calibri" w:hAnsi="Calibri"/>
              <w:bCs/>
            </w:rPr>
            <w:instrText xml:space="preserve"> TOC \o "1-3" \h \z \u </w:instrText>
          </w:r>
          <w:r w:rsidRPr="00ED41DA">
            <w:rPr>
              <w:rFonts w:ascii="Calibri" w:hAnsi="Calibri"/>
              <w:bCs/>
            </w:rPr>
            <w:fldChar w:fldCharType="separate"/>
          </w:r>
          <w:hyperlink w:anchor="_Toc108610892" w:history="1"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>Wprowadzenie</w:t>
            </w:r>
            <w:r w:rsidR="00615668" w:rsidRPr="00ED41DA">
              <w:rPr>
                <w:rStyle w:val="Hipercze"/>
                <w:rFonts w:ascii="Calibri" w:hAnsi="Calibri"/>
                <w:b/>
                <w:bCs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DE3336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_Toc108610892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3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673B4982" w14:textId="1DC707A6" w:rsidR="00F41DA9" w:rsidRPr="00ED41DA" w:rsidRDefault="0004040C" w:rsidP="00782E96">
          <w:pPr>
            <w:pStyle w:val="Spistreci1"/>
            <w:rPr>
              <w:rFonts w:ascii="Calibri" w:eastAsiaTheme="minorEastAsia" w:hAnsi="Calibri"/>
            </w:rPr>
          </w:pPr>
          <w:hyperlink w:anchor="_Toc108610893" w:history="1">
            <w:r w:rsidR="00F41DA9" w:rsidRPr="00ED41DA">
              <w:rPr>
                <w:rStyle w:val="Hipercze"/>
                <w:rFonts w:ascii="Calibri" w:hAnsi="Calibri"/>
              </w:rPr>
              <w:t>1.</w:t>
            </w:r>
            <w:r w:rsidR="00F41DA9" w:rsidRPr="00ED41DA">
              <w:rPr>
                <w:rFonts w:ascii="Calibri" w:eastAsiaTheme="minorEastAsia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 xml:space="preserve">Misja i wizja Zarządzania Zasobami </w:t>
            </w:r>
            <w:r w:rsidR="00F41DA9" w:rsidRPr="00ED41DA">
              <w:rPr>
                <w:rStyle w:val="Hipercze"/>
                <w:rFonts w:ascii="Calibri" w:hAnsi="Calibri"/>
                <w:b/>
                <w:bCs/>
                <w:lang w:eastAsia="en-US"/>
              </w:rPr>
              <w:t>Ludzkimi</w:t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 xml:space="preserve"> w ZUT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_Toc108610893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687FFFAE" w14:textId="19A4C735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894" w:history="1">
            <w:r w:rsidR="00F41DA9" w:rsidRPr="00ED41DA">
              <w:rPr>
                <w:rStyle w:val="Hipercze"/>
                <w:rFonts w:ascii="Calibri" w:hAnsi="Calibri"/>
              </w:rPr>
              <w:t xml:space="preserve">1.1 </w:t>
            </w:r>
            <w:r w:rsidR="00F41DA9" w:rsidRPr="00ED41DA">
              <w:rPr>
                <w:rStyle w:val="Hipercze"/>
                <w:rFonts w:ascii="Calibri" w:hAnsi="Calibri"/>
              </w:rPr>
              <w:tab/>
              <w:t>Misja HR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_Toc108610894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1180A5EF" w14:textId="434EB5FC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895" w:history="1">
            <w:r w:rsidR="00F41DA9" w:rsidRPr="00ED41DA">
              <w:rPr>
                <w:rStyle w:val="Hipercze"/>
                <w:rFonts w:ascii="Calibri" w:hAnsi="Calibri"/>
              </w:rPr>
              <w:t xml:space="preserve">1.2 </w:t>
            </w:r>
            <w:r w:rsidR="00F41DA9" w:rsidRPr="00ED41DA">
              <w:rPr>
                <w:rStyle w:val="Hipercze"/>
                <w:rFonts w:ascii="Calibri" w:hAnsi="Calibri"/>
              </w:rPr>
              <w:tab/>
              <w:t>Wizja HR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_Toc108610895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0F6A6EA2" w14:textId="01C3706A" w:rsidR="00F41DA9" w:rsidRPr="00ED41DA" w:rsidRDefault="0004040C" w:rsidP="00782E96">
          <w:pPr>
            <w:pStyle w:val="Spistreci1"/>
            <w:rPr>
              <w:rFonts w:ascii="Calibri" w:eastAsiaTheme="minorEastAsia" w:hAnsi="Calibri"/>
            </w:rPr>
          </w:pPr>
          <w:hyperlink w:anchor="_Toc108610896" w:history="1">
            <w:r w:rsidR="00F41DA9" w:rsidRPr="00ED41DA">
              <w:rPr>
                <w:rStyle w:val="Hipercze"/>
                <w:rFonts w:ascii="Calibri" w:hAnsi="Calibri"/>
              </w:rPr>
              <w:t>2.</w:t>
            </w:r>
            <w:r w:rsidR="00F41DA9" w:rsidRPr="00ED41DA">
              <w:rPr>
                <w:rFonts w:ascii="Calibri" w:eastAsiaTheme="minorEastAsia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b/>
                <w:bCs/>
                <w:lang w:eastAsia="en-US"/>
              </w:rPr>
              <w:t>Przygotowanie</w:t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 xml:space="preserve"> </w:t>
            </w:r>
            <w:r w:rsidR="00871F28" w:rsidRPr="00ED41DA">
              <w:rPr>
                <w:rStyle w:val="Hipercze"/>
                <w:rFonts w:ascii="Calibri" w:hAnsi="Calibri"/>
                <w:b/>
                <w:bCs/>
              </w:rPr>
              <w:t>S</w:t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>trategii ZZL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_Toc108610896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01230829" w14:textId="6D2C395C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897" w:history="1">
            <w:r w:rsidR="00F41DA9" w:rsidRPr="00ED41DA">
              <w:rPr>
                <w:rStyle w:val="Hipercze"/>
                <w:rFonts w:ascii="Calibri" w:hAnsi="Calibri"/>
              </w:rPr>
              <w:t xml:space="preserve">2.1 </w:t>
            </w:r>
            <w:r w:rsidR="00F41DA9" w:rsidRPr="00ED41DA">
              <w:rPr>
                <w:rStyle w:val="Hipercze"/>
                <w:rFonts w:ascii="Calibri" w:hAnsi="Calibri"/>
              </w:rPr>
              <w:tab/>
              <w:t>Akty prawne, dokumenty wewnętrzne i praktyki obowiązujące w ZUT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_Toc108610897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37FCAF10" w14:textId="4F8F93CF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898" w:history="1">
            <w:r w:rsidR="00F41DA9" w:rsidRPr="00ED41DA">
              <w:rPr>
                <w:rStyle w:val="Hipercze"/>
                <w:rFonts w:ascii="Calibri" w:hAnsi="Calibri"/>
              </w:rPr>
              <w:t xml:space="preserve">2.2 </w:t>
            </w:r>
            <w:r w:rsidR="00F41DA9" w:rsidRPr="00ED41DA">
              <w:rPr>
                <w:rStyle w:val="Hipercze"/>
                <w:rFonts w:ascii="Calibri" w:hAnsi="Calibri"/>
              </w:rPr>
              <w:tab/>
              <w:t>Analiza SWOT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_Toc108610898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5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73D4CC0E" w14:textId="22BB4F66" w:rsidR="00F41DA9" w:rsidRPr="00ED41DA" w:rsidRDefault="0004040C" w:rsidP="00782E96">
          <w:pPr>
            <w:pStyle w:val="Spistreci1"/>
            <w:rPr>
              <w:rFonts w:ascii="Calibri" w:eastAsiaTheme="minorEastAsia" w:hAnsi="Calibri"/>
            </w:rPr>
          </w:pPr>
          <w:hyperlink w:anchor="_Toc108610899" w:history="1">
            <w:r w:rsidR="00F41DA9" w:rsidRPr="00ED41DA">
              <w:rPr>
                <w:rStyle w:val="Hipercze"/>
                <w:rFonts w:ascii="Calibri" w:hAnsi="Calibri"/>
              </w:rPr>
              <w:t>3.</w:t>
            </w:r>
            <w:r w:rsidR="00F41DA9" w:rsidRPr="00ED41DA">
              <w:rPr>
                <w:rFonts w:ascii="Calibri" w:eastAsiaTheme="minorEastAsia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>Otoczenie wewnętrzne Uczelni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_Toc108610899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6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45A5392F" w14:textId="1F8CF2BD" w:rsidR="00F41DA9" w:rsidRPr="00ED41DA" w:rsidRDefault="0004040C" w:rsidP="007119DD">
          <w:pPr>
            <w:pStyle w:val="Spistreci2"/>
            <w:rPr>
              <w:rStyle w:val="Hipercze"/>
              <w:rFonts w:ascii="Calibri" w:hAnsi="Calibri"/>
              <w:color w:val="auto"/>
              <w:u w:val="none"/>
            </w:rPr>
          </w:pPr>
          <w:hyperlink w:anchor="_Toc108610900" w:history="1">
            <w:r w:rsidR="00F41DA9" w:rsidRPr="00ED41DA">
              <w:rPr>
                <w:rStyle w:val="Hipercze"/>
                <w:rFonts w:ascii="Calibri" w:hAnsi="Calibri"/>
                <w:u w:val="none"/>
              </w:rPr>
              <w:t xml:space="preserve">3.1 </w:t>
            </w:r>
            <w:r w:rsidR="00F41DA9" w:rsidRPr="00ED41DA">
              <w:rPr>
                <w:rStyle w:val="Hipercze"/>
                <w:rFonts w:ascii="Calibri" w:hAnsi="Calibri"/>
                <w:u w:val="none"/>
              </w:rPr>
              <w:tab/>
              <w:t>System zarządzania Uczelnią</w:t>
            </w:r>
            <w:r w:rsidR="00615668" w:rsidRPr="00ED41DA">
              <w:rPr>
                <w:rStyle w:val="Hipercze"/>
                <w:rFonts w:ascii="Calibri" w:hAnsi="Calibri"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tab/>
            </w:r>
            <w:r w:rsidR="00615668" w:rsidRPr="00ED41DA">
              <w:rPr>
                <w:rStyle w:val="Hipercze"/>
                <w:rFonts w:ascii="Calibri" w:hAnsi="Calibri"/>
                <w:webHidden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fldChar w:fldCharType="begin"/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instrText xml:space="preserve"> PAGEREF _Toc108610900 \h </w:instrText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fldChar w:fldCharType="separate"/>
            </w:r>
            <w:r w:rsidR="00ED0ED1">
              <w:rPr>
                <w:rStyle w:val="Hipercze"/>
                <w:rFonts w:ascii="Calibri" w:hAnsi="Calibri"/>
                <w:webHidden/>
                <w:u w:val="none"/>
              </w:rPr>
              <w:t>6</w:t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fldChar w:fldCharType="end"/>
            </w:r>
          </w:hyperlink>
        </w:p>
        <w:p w14:paraId="6E8FA2E7" w14:textId="742849C0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01" w:history="1">
            <w:r w:rsidR="00F41DA9" w:rsidRPr="00ED41DA">
              <w:rPr>
                <w:rStyle w:val="Hipercze"/>
                <w:rFonts w:ascii="Calibri" w:hAnsi="Calibri"/>
              </w:rPr>
              <w:t>3.2</w:t>
            </w:r>
            <w:r w:rsidR="00F41DA9" w:rsidRPr="00ED41DA">
              <w:rPr>
                <w:rStyle w:val="Hipercze"/>
                <w:rFonts w:ascii="Calibri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u w:val="none"/>
              </w:rPr>
              <w:t>Dane kadrowe i struktura wiekowa pracowników</w:t>
            </w:r>
            <w:r w:rsidR="00615668" w:rsidRPr="00ED41DA">
              <w:rPr>
                <w:rStyle w:val="Hipercze"/>
                <w:rFonts w:ascii="Calibri" w:hAnsi="Calibri"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webHidden/>
                <w:u w:val="none"/>
              </w:rPr>
              <w:tab/>
            </w:r>
            <w:r w:rsidR="00615668" w:rsidRPr="00ED41DA">
              <w:rPr>
                <w:rStyle w:val="Hipercze"/>
                <w:rFonts w:ascii="Calibri" w:hAnsi="Calibri"/>
                <w:webHidden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Style w:val="Hipercze"/>
                <w:rFonts w:ascii="Calibri" w:hAnsi="Calibri"/>
                <w:webHidden/>
              </w:rPr>
              <w:instrText xml:space="preserve"> PAGEREF _Toc108610901 \h </w:instrText>
            </w:r>
            <w:r w:rsidR="00F41DA9" w:rsidRPr="00ED41DA">
              <w:rPr>
                <w:rStyle w:val="Hipercze"/>
                <w:rFonts w:ascii="Calibri" w:hAnsi="Calibri"/>
                <w:webHidden/>
              </w:rPr>
            </w:r>
            <w:r w:rsidR="00F41DA9" w:rsidRPr="00ED41DA">
              <w:rPr>
                <w:rStyle w:val="Hipercze"/>
                <w:rFonts w:ascii="Calibri" w:hAnsi="Calibri"/>
                <w:webHidden/>
              </w:rPr>
              <w:fldChar w:fldCharType="separate"/>
            </w:r>
            <w:r w:rsidR="00ED0ED1">
              <w:rPr>
                <w:rStyle w:val="Hipercze"/>
                <w:rFonts w:ascii="Calibri" w:hAnsi="Calibri"/>
                <w:webHidden/>
              </w:rPr>
              <w:t>6</w:t>
            </w:r>
            <w:r w:rsidR="00F41DA9" w:rsidRPr="00ED41DA">
              <w:rPr>
                <w:rStyle w:val="Hipercze"/>
                <w:rFonts w:ascii="Calibri" w:hAnsi="Calibri"/>
                <w:webHidden/>
              </w:rPr>
              <w:fldChar w:fldCharType="end"/>
            </w:r>
          </w:hyperlink>
        </w:p>
        <w:p w14:paraId="1769682A" w14:textId="163BF7B7" w:rsidR="00F41DA9" w:rsidRPr="00ED41DA" w:rsidRDefault="0004040C" w:rsidP="00BD6D9C">
          <w:pPr>
            <w:pStyle w:val="Spistreci3"/>
            <w:rPr>
              <w:rFonts w:ascii="Calibri" w:eastAsiaTheme="minorEastAsia" w:hAnsi="Calibri"/>
              <w:noProof/>
            </w:rPr>
          </w:pPr>
          <w:hyperlink w:anchor="_Toc108610902" w:history="1">
            <w:r w:rsidR="00F41DA9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>3.2.1 Liczba wszystkich pracowników z podziałem na nauczycieli i niebędących nauczycielami</w:t>
            </w:r>
            <w:r w:rsidR="00615668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 xml:space="preserve"> </w:t>
            </w:r>
            <w:r w:rsidR="00F41DA9" w:rsidRPr="00ED41DA">
              <w:rPr>
                <w:rFonts w:ascii="Calibri" w:hAnsi="Calibri"/>
                <w:bCs/>
                <w:noProof/>
                <w:webHidden/>
              </w:rPr>
              <w:tab/>
            </w:r>
            <w:r w:rsidR="00615668" w:rsidRPr="00ED41DA">
              <w:rPr>
                <w:rFonts w:ascii="Calibri" w:hAnsi="Calibri"/>
                <w:noProof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bCs/>
                <w:noProof/>
                <w:webHidden/>
              </w:rPr>
              <w:instrText xml:space="preserve"> PAGEREF _Toc108610902 \h </w:instrTex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separate"/>
            </w:r>
            <w:r w:rsidR="00ED0ED1">
              <w:rPr>
                <w:rFonts w:ascii="Calibri" w:hAnsi="Calibri"/>
                <w:bCs/>
                <w:noProof/>
                <w:webHidden/>
              </w:rPr>
              <w:t>6</w: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end"/>
            </w:r>
          </w:hyperlink>
        </w:p>
        <w:p w14:paraId="41CDCAA1" w14:textId="74807020" w:rsidR="00F41DA9" w:rsidRPr="00ED41DA" w:rsidRDefault="0004040C" w:rsidP="00BD6D9C">
          <w:pPr>
            <w:pStyle w:val="Spistreci3"/>
            <w:rPr>
              <w:rFonts w:ascii="Calibri" w:eastAsiaTheme="minorEastAsia" w:hAnsi="Calibri"/>
              <w:noProof/>
            </w:rPr>
          </w:pPr>
          <w:hyperlink w:anchor="_Toc108610903" w:history="1">
            <w:r w:rsidR="00F41DA9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>3.2.2</w:t>
            </w:r>
            <w:r w:rsidR="00567DAD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 xml:space="preserve"> </w:t>
            </w:r>
            <w:r w:rsidR="00243DDA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>Udział</w:t>
            </w:r>
            <w:r w:rsidR="00F41DA9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 xml:space="preserve"> pracowników w dyscyplinach naukowych</w:t>
            </w:r>
            <w:r w:rsidR="00615668" w:rsidRPr="00ED41DA">
              <w:rPr>
                <w:rStyle w:val="Hipercze"/>
                <w:rFonts w:ascii="Calibri" w:eastAsia="MS Mincho" w:hAnsi="Calibri"/>
                <w:bCs/>
                <w:noProof/>
                <w:sz w:val="22"/>
                <w:szCs w:val="22"/>
              </w:rPr>
              <w:t xml:space="preserve"> </w:t>
            </w:r>
            <w:r w:rsidR="00F41DA9" w:rsidRPr="00ED41DA">
              <w:rPr>
                <w:rFonts w:ascii="Calibri" w:hAnsi="Calibri"/>
                <w:bCs/>
                <w:noProof/>
                <w:webHidden/>
              </w:rPr>
              <w:tab/>
            </w:r>
            <w:r w:rsidR="00615668" w:rsidRPr="00ED41DA">
              <w:rPr>
                <w:rFonts w:ascii="Calibri" w:hAnsi="Calibri"/>
                <w:bCs/>
                <w:noProof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bCs/>
                <w:noProof/>
                <w:webHidden/>
              </w:rPr>
              <w:instrText xml:space="preserve"> PAGEREF _Toc108610903 \h </w:instrTex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separate"/>
            </w:r>
            <w:r w:rsidR="00ED0ED1">
              <w:rPr>
                <w:rFonts w:ascii="Calibri" w:hAnsi="Calibri"/>
                <w:bCs/>
                <w:noProof/>
                <w:webHidden/>
              </w:rPr>
              <w:t>8</w:t>
            </w:r>
            <w:r w:rsidR="00F41DA9" w:rsidRPr="00ED41DA">
              <w:rPr>
                <w:rFonts w:ascii="Calibri" w:hAnsi="Calibri"/>
                <w:b/>
                <w:bCs/>
                <w:noProof/>
                <w:webHidden/>
              </w:rPr>
              <w:fldChar w:fldCharType="end"/>
            </w:r>
          </w:hyperlink>
        </w:p>
        <w:p w14:paraId="0EE3653F" w14:textId="6E44FD3E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04" w:history="1">
            <w:r w:rsidR="00F41DA9" w:rsidRPr="00ED41DA">
              <w:rPr>
                <w:rStyle w:val="Hipercze"/>
                <w:rFonts w:ascii="Calibri" w:hAnsi="Calibri"/>
              </w:rPr>
              <w:t>3.3</w:t>
            </w:r>
            <w:r w:rsidR="00595CBE" w:rsidRPr="00ED41DA">
              <w:rPr>
                <w:rStyle w:val="Hipercze"/>
                <w:rFonts w:ascii="Calibri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u w:val="none"/>
              </w:rPr>
              <w:t>Struktura</w:t>
            </w:r>
            <w:r w:rsidR="00F41DA9" w:rsidRPr="00ED41DA">
              <w:rPr>
                <w:rStyle w:val="Hipercze"/>
                <w:rFonts w:ascii="Calibri" w:hAnsi="Calibri"/>
              </w:rPr>
              <w:t xml:space="preserve"> organizacyjna Uczelni i wzajemne relacje między pracownikami</w:t>
            </w:r>
            <w:r w:rsidR="00615668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615668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_Toc108610904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8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44AFE4CC" w14:textId="060645C5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05" w:history="1">
            <w:r w:rsidR="00F41DA9" w:rsidRPr="00ED41DA">
              <w:rPr>
                <w:rStyle w:val="Hipercze"/>
                <w:rFonts w:ascii="Calibri" w:hAnsi="Calibri"/>
              </w:rPr>
              <w:t>3.4</w:t>
            </w:r>
            <w:r w:rsidR="00595CBE" w:rsidRPr="00ED41DA">
              <w:rPr>
                <w:rStyle w:val="Hipercze"/>
                <w:rFonts w:ascii="Calibri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</w:rPr>
              <w:t>Warunki pracy</w:t>
            </w:r>
            <w:r w:rsidR="00882C2F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_Toc108610905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9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2AE947D1" w14:textId="16AF630A" w:rsidR="00F41DA9" w:rsidRPr="00ED41DA" w:rsidRDefault="00595CBE" w:rsidP="007119DD">
          <w:pPr>
            <w:pStyle w:val="Spistreci2"/>
            <w:rPr>
              <w:rFonts w:ascii="Calibri" w:eastAsiaTheme="minorEastAsia" w:hAnsi="Calibri"/>
            </w:rPr>
          </w:pPr>
          <w:r w:rsidRPr="00ED41DA">
            <w:rPr>
              <w:rFonts w:ascii="Calibri" w:hAnsi="Calibri"/>
            </w:rPr>
            <w:t>3.5</w:t>
          </w:r>
          <w:r w:rsidRPr="00ED41DA">
            <w:rPr>
              <w:rFonts w:ascii="Calibri" w:hAnsi="Calibri"/>
            </w:rPr>
            <w:tab/>
          </w:r>
          <w:hyperlink w:anchor="_Toc108610906" w:history="1">
            <w:r w:rsidR="00F41DA9" w:rsidRPr="00ED41DA">
              <w:rPr>
                <w:rFonts w:ascii="Calibri" w:hAnsi="Calibri"/>
              </w:rPr>
              <w:t>Systemy</w:t>
            </w:r>
            <w:r w:rsidR="00F41DA9" w:rsidRPr="00ED41DA">
              <w:rPr>
                <w:rStyle w:val="Hipercze"/>
                <w:rFonts w:ascii="Calibri" w:hAnsi="Calibri"/>
              </w:rPr>
              <w:t xml:space="preserve"> informatyczne </w:t>
            </w:r>
            <w:r w:rsidR="00F41DA9" w:rsidRPr="00ED41DA">
              <w:rPr>
                <w:rStyle w:val="Hipercze"/>
                <w:rFonts w:ascii="Calibri" w:hAnsi="Calibri"/>
                <w:u w:val="none"/>
              </w:rPr>
              <w:t>i ich efektywność</w:t>
            </w:r>
            <w:r w:rsidR="00882C2F" w:rsidRPr="00ED41DA">
              <w:rPr>
                <w:rStyle w:val="Hipercze"/>
                <w:rFonts w:ascii="Calibri" w:hAnsi="Calibri"/>
                <w:u w:val="none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_Toc108610906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10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5274F15F" w14:textId="34AE194D" w:rsidR="00F41DA9" w:rsidRPr="00ED41DA" w:rsidRDefault="0004040C" w:rsidP="00782E96">
          <w:pPr>
            <w:pStyle w:val="Spistreci1"/>
            <w:rPr>
              <w:rFonts w:ascii="Calibri" w:eastAsiaTheme="minorEastAsia" w:hAnsi="Calibri"/>
            </w:rPr>
          </w:pPr>
          <w:hyperlink w:anchor="_Toc108610907" w:history="1">
            <w:r w:rsidR="00F41DA9" w:rsidRPr="00ED41DA">
              <w:rPr>
                <w:rStyle w:val="Hipercze"/>
                <w:rFonts w:ascii="Calibri" w:hAnsi="Calibri"/>
              </w:rPr>
              <w:t>4.</w:t>
            </w:r>
            <w:r w:rsidR="00F41DA9" w:rsidRPr="00ED41DA">
              <w:rPr>
                <w:rFonts w:ascii="Calibri" w:eastAsiaTheme="minorEastAsia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b/>
                <w:bCs/>
              </w:rPr>
              <w:t>Otoczenie zewnętrzne Uczelni</w:t>
            </w:r>
            <w:r w:rsidR="00882C2F" w:rsidRPr="00ED41DA">
              <w:rPr>
                <w:rStyle w:val="Hipercze"/>
                <w:rFonts w:ascii="Calibri" w:hAnsi="Calibri"/>
                <w:b/>
                <w:bCs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_Toc108610907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10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6B5C982F" w14:textId="1B6551D1" w:rsidR="00F41DA9" w:rsidRPr="00ED41DA" w:rsidRDefault="0004040C" w:rsidP="007119DD">
          <w:pPr>
            <w:pStyle w:val="Spistreci2"/>
            <w:rPr>
              <w:rStyle w:val="Hipercze"/>
              <w:rFonts w:ascii="Calibri" w:hAnsi="Calibri"/>
              <w:smallCaps/>
              <w:color w:val="auto"/>
              <w:u w:val="none"/>
            </w:rPr>
          </w:pPr>
          <w:hyperlink w:anchor="_Toc108610908" w:history="1">
            <w:r w:rsidR="00F41DA9" w:rsidRPr="00ED41DA">
              <w:rPr>
                <w:rStyle w:val="Hipercze"/>
                <w:rFonts w:ascii="Calibri" w:hAnsi="Calibri"/>
                <w:smallCaps/>
                <w:color w:val="auto"/>
                <w:u w:val="none"/>
              </w:rPr>
              <w:t>4.1</w:t>
            </w:r>
            <w:r w:rsidR="00F41DA9" w:rsidRPr="00ED41DA">
              <w:rPr>
                <w:rStyle w:val="Hipercze"/>
                <w:rFonts w:ascii="Calibri" w:hAnsi="Calibri"/>
                <w:smallCaps/>
                <w:color w:val="auto"/>
                <w:u w:val="none"/>
              </w:rPr>
              <w:tab/>
            </w:r>
            <w:r w:rsidR="00F41DA9" w:rsidRPr="00ED41DA">
              <w:rPr>
                <w:rStyle w:val="Hipercze"/>
                <w:rFonts w:ascii="Calibri" w:hAnsi="Calibri"/>
                <w:color w:val="auto"/>
                <w:u w:val="none"/>
              </w:rPr>
              <w:t>Elementy otoczenia zewnętrznego</w:t>
            </w:r>
            <w:r w:rsidR="00882C2F" w:rsidRPr="00ED41DA">
              <w:rPr>
                <w:rStyle w:val="Hipercze"/>
                <w:rFonts w:ascii="Calibri" w:hAnsi="Calibri"/>
                <w:smallCaps/>
                <w:color w:val="auto"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tab/>
            </w:r>
            <w:r w:rsidR="00882C2F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fldChar w:fldCharType="begin"/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instrText xml:space="preserve"> PAGEREF _Toc108610908 \h </w:instrTex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fldChar w:fldCharType="separate"/>
            </w:r>
            <w:r w:rsidR="00ED0ED1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t>10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  <w:color w:val="auto"/>
                <w:u w:val="none"/>
              </w:rPr>
              <w:fldChar w:fldCharType="end"/>
            </w:r>
          </w:hyperlink>
        </w:p>
        <w:p w14:paraId="5A4738A3" w14:textId="4561DADA" w:rsidR="00F41DA9" w:rsidRPr="00ED41DA" w:rsidRDefault="0004040C" w:rsidP="007119DD">
          <w:pPr>
            <w:pStyle w:val="Spistreci2"/>
            <w:rPr>
              <w:rStyle w:val="Hipercze"/>
              <w:rFonts w:ascii="Calibri" w:hAnsi="Calibri"/>
              <w:smallCaps/>
              <w:color w:val="auto"/>
            </w:rPr>
          </w:pPr>
          <w:hyperlink w:anchor="_Toc108610909" w:history="1">
            <w:r w:rsidR="00F41DA9" w:rsidRPr="00ED41DA">
              <w:rPr>
                <w:rStyle w:val="Hipercze"/>
                <w:rFonts w:ascii="Calibri" w:hAnsi="Calibri"/>
                <w:smallCaps/>
              </w:rPr>
              <w:t xml:space="preserve">4.2 </w:t>
            </w:r>
            <w:r w:rsidR="00F41DA9" w:rsidRPr="00ED41DA">
              <w:rPr>
                <w:rStyle w:val="Hipercze"/>
                <w:rFonts w:ascii="Calibri" w:hAnsi="Calibri"/>
                <w:smallCaps/>
              </w:rPr>
              <w:tab/>
            </w:r>
            <w:r w:rsidR="00F41DA9" w:rsidRPr="00ED41DA">
              <w:rPr>
                <w:rStyle w:val="Hipercze"/>
                <w:rFonts w:ascii="Calibri" w:hAnsi="Calibri"/>
              </w:rPr>
              <w:t>Analiza przepływów kadrowych (potrzeb personalnych)</w:t>
            </w:r>
            <w:r w:rsidR="00882C2F" w:rsidRPr="00ED41DA">
              <w:rPr>
                <w:rStyle w:val="Hipercze"/>
                <w:rFonts w:ascii="Calibri" w:hAnsi="Calibri"/>
                <w:smallCaps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  <w:tab/>
            </w:r>
            <w:r w:rsidR="00882C2F" w:rsidRPr="00ED41DA">
              <w:rPr>
                <w:rStyle w:val="Hipercze"/>
                <w:rFonts w:ascii="Calibri" w:hAnsi="Calibri"/>
                <w:smallCaps/>
                <w:webHidden/>
              </w:rPr>
              <w:t xml:space="preserve"> 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  <w:fldChar w:fldCharType="begin"/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  <w:instrText xml:space="preserve"> PAGEREF _Toc108610909 \h </w:instrTex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  <w:fldChar w:fldCharType="separate"/>
            </w:r>
            <w:r w:rsidR="00ED0ED1">
              <w:rPr>
                <w:rStyle w:val="Hipercze"/>
                <w:rFonts w:ascii="Calibri" w:hAnsi="Calibri"/>
                <w:smallCaps/>
                <w:webHidden/>
              </w:rPr>
              <w:t>12</w:t>
            </w:r>
            <w:r w:rsidR="00F41DA9" w:rsidRPr="00ED41DA">
              <w:rPr>
                <w:rStyle w:val="Hipercze"/>
                <w:rFonts w:ascii="Calibri" w:hAnsi="Calibri"/>
                <w:smallCaps/>
                <w:webHidden/>
              </w:rPr>
              <w:fldChar w:fldCharType="end"/>
            </w:r>
          </w:hyperlink>
        </w:p>
        <w:p w14:paraId="79549EE7" w14:textId="19A5CB3F" w:rsidR="00F41DA9" w:rsidRPr="00ED41DA" w:rsidRDefault="0004040C" w:rsidP="00782E96">
          <w:pPr>
            <w:pStyle w:val="Spistreci1"/>
            <w:rPr>
              <w:rFonts w:ascii="Calibri" w:eastAsiaTheme="minorEastAsia" w:hAnsi="Calibri"/>
            </w:rPr>
          </w:pPr>
          <w:hyperlink w:anchor="_Toc108610910" w:history="1">
            <w:r w:rsidR="00F41DA9" w:rsidRPr="00ED41DA">
              <w:rPr>
                <w:rStyle w:val="Hipercze"/>
                <w:rFonts w:ascii="Calibri" w:hAnsi="Calibri"/>
                <w:smallCaps/>
              </w:rPr>
              <w:t>5.</w:t>
            </w:r>
            <w:r w:rsidR="00F41DA9" w:rsidRPr="00ED41DA">
              <w:rPr>
                <w:rFonts w:ascii="Calibri" w:eastAsiaTheme="minorEastAsia" w:hAnsi="Calibri"/>
              </w:rPr>
              <w:tab/>
            </w:r>
            <w:r w:rsidR="00F41DA9" w:rsidRPr="00ED41DA">
              <w:rPr>
                <w:rStyle w:val="Hipercze"/>
                <w:rFonts w:ascii="Calibri" w:hAnsi="Calibri"/>
                <w:b/>
              </w:rPr>
              <w:t xml:space="preserve">Cele strategiczne w obszarze Zarządzania </w:t>
            </w:r>
            <w:r w:rsidR="00F41DA9" w:rsidRPr="00ED41DA">
              <w:rPr>
                <w:rStyle w:val="Hipercze"/>
                <w:rFonts w:ascii="Calibri" w:hAnsi="Calibri"/>
                <w:b/>
                <w:lang w:eastAsia="en-US"/>
              </w:rPr>
              <w:t>Zasobami</w:t>
            </w:r>
            <w:r w:rsidR="00F41DA9" w:rsidRPr="00ED41DA">
              <w:rPr>
                <w:rStyle w:val="Hipercze"/>
                <w:rFonts w:ascii="Calibri" w:hAnsi="Calibri"/>
                <w:b/>
              </w:rPr>
              <w:t xml:space="preserve"> Ludzkimi</w:t>
            </w:r>
            <w:r w:rsidR="00882C2F" w:rsidRPr="00ED41DA">
              <w:rPr>
                <w:rStyle w:val="Hipercze"/>
                <w:rFonts w:ascii="Calibri" w:hAnsi="Calibri"/>
                <w:b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_Toc108610910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12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3E60EE04" w14:textId="3CCAFE77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11" w:history="1">
            <w:r w:rsidR="00F41DA9" w:rsidRPr="00ED41DA">
              <w:rPr>
                <w:rStyle w:val="Hipercze"/>
                <w:rFonts w:ascii="Calibri" w:hAnsi="Calibri"/>
                <w:smallCaps/>
              </w:rPr>
              <w:t>5.1</w:t>
            </w:r>
            <w:r w:rsidR="00F41DA9" w:rsidRPr="00ED41DA">
              <w:rPr>
                <w:rStyle w:val="Hipercze"/>
                <w:rFonts w:ascii="Calibri" w:hAnsi="Calibri"/>
                <w:smallCaps/>
              </w:rPr>
              <w:tab/>
            </w:r>
            <w:r w:rsidR="00F41DA9" w:rsidRPr="00ED41DA">
              <w:rPr>
                <w:rStyle w:val="Hipercze"/>
                <w:rFonts w:ascii="Calibri" w:hAnsi="Calibri"/>
              </w:rPr>
              <w:t xml:space="preserve">Obszar – </w:t>
            </w:r>
            <w:r w:rsidR="00F41DA9" w:rsidRPr="00ED41DA">
              <w:rPr>
                <w:rStyle w:val="Hipercze"/>
                <w:rFonts w:ascii="Calibri" w:hAnsi="Calibri"/>
                <w:lang w:eastAsia="en-US"/>
              </w:rPr>
              <w:t>Pozyskiwanie</w:t>
            </w:r>
            <w:r w:rsidR="00F41DA9" w:rsidRPr="00ED41DA">
              <w:rPr>
                <w:rStyle w:val="Hipercze"/>
                <w:rFonts w:ascii="Calibri" w:hAnsi="Calibri"/>
              </w:rPr>
              <w:t xml:space="preserve"> pracowników</w:t>
            </w:r>
            <w:r w:rsidR="00882C2F" w:rsidRPr="00ED41DA">
              <w:rPr>
                <w:rStyle w:val="Hipercze"/>
                <w:rFonts w:ascii="Calibri" w:hAnsi="Calibri"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_Toc108610911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13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6E38F726" w14:textId="1A9E4D2D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15" w:history="1">
            <w:r w:rsidR="00F41DA9" w:rsidRPr="00ED41DA">
              <w:rPr>
                <w:rStyle w:val="Hipercze"/>
                <w:rFonts w:ascii="Calibri" w:hAnsi="Calibri"/>
                <w:smallCaps/>
              </w:rPr>
              <w:t>5.2</w:t>
            </w:r>
            <w:r w:rsidR="00F41DA9" w:rsidRPr="00ED41DA">
              <w:rPr>
                <w:rStyle w:val="Hipercze"/>
                <w:rFonts w:ascii="Calibri" w:hAnsi="Calibri"/>
                <w:smallCaps/>
              </w:rPr>
              <w:tab/>
            </w:r>
            <w:r w:rsidR="00F41DA9" w:rsidRPr="00ED41DA">
              <w:rPr>
                <w:rStyle w:val="Hipercze"/>
                <w:rFonts w:ascii="Calibri" w:hAnsi="Calibri"/>
              </w:rPr>
              <w:t>Obszar – Kształtowanie i rozwój personalny</w:t>
            </w:r>
            <w:r w:rsidR="00882C2F" w:rsidRPr="00ED41DA">
              <w:rPr>
                <w:rStyle w:val="Hipercze"/>
                <w:rFonts w:ascii="Calibri" w:hAnsi="Calibri"/>
                <w:smallCaps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_Toc108610915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14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0F891F74" w14:textId="0D31464D" w:rsidR="00F41DA9" w:rsidRPr="00ED41DA" w:rsidRDefault="0004040C" w:rsidP="007119DD">
          <w:pPr>
            <w:pStyle w:val="Spistreci2"/>
            <w:rPr>
              <w:rFonts w:ascii="Calibri" w:eastAsiaTheme="minorEastAsia" w:hAnsi="Calibri"/>
            </w:rPr>
          </w:pPr>
          <w:hyperlink w:anchor="_Toc108610919" w:history="1">
            <w:r w:rsidR="00F41DA9" w:rsidRPr="00ED41DA">
              <w:rPr>
                <w:rStyle w:val="Hipercze"/>
                <w:rFonts w:ascii="Calibri" w:hAnsi="Calibri"/>
                <w:smallCaps/>
              </w:rPr>
              <w:t>5.3</w:t>
            </w:r>
            <w:r w:rsidR="00F41DA9" w:rsidRPr="00ED41DA">
              <w:rPr>
                <w:rStyle w:val="Hipercze"/>
                <w:rFonts w:ascii="Calibri" w:hAnsi="Calibri"/>
                <w:smallCaps/>
              </w:rPr>
              <w:tab/>
            </w:r>
            <w:r w:rsidR="00F41DA9" w:rsidRPr="00ED41DA">
              <w:rPr>
                <w:rStyle w:val="Hipercze"/>
                <w:rFonts w:ascii="Calibri" w:hAnsi="Calibri"/>
              </w:rPr>
              <w:t>Obszar – Systemy wynagradzania i motywowania</w:t>
            </w:r>
            <w:r w:rsidR="00882C2F" w:rsidRPr="00ED41DA">
              <w:rPr>
                <w:rStyle w:val="Hipercze"/>
                <w:rFonts w:ascii="Calibri" w:hAnsi="Calibri"/>
                <w:smallCaps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_Toc108610919 \h </w:instrText>
            </w:r>
            <w:r w:rsidR="00F41DA9" w:rsidRPr="00ED41DA">
              <w:rPr>
                <w:rFonts w:ascii="Calibri" w:hAnsi="Calibri"/>
                <w:webHidden/>
              </w:rPr>
            </w:r>
            <w:r w:rsidR="00F41DA9" w:rsidRPr="00ED41DA">
              <w:rPr>
                <w:rFonts w:ascii="Calibri" w:hAnsi="Calibri"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15</w:t>
            </w:r>
            <w:r w:rsidR="00F41DA9" w:rsidRPr="00ED41DA">
              <w:rPr>
                <w:rFonts w:ascii="Calibri" w:hAnsi="Calibri"/>
                <w:webHidden/>
              </w:rPr>
              <w:fldChar w:fldCharType="end"/>
            </w:r>
          </w:hyperlink>
        </w:p>
        <w:p w14:paraId="0698DE62" w14:textId="02554C95" w:rsidR="00416ABD" w:rsidRPr="00ED41DA" w:rsidRDefault="0004040C" w:rsidP="00782E96">
          <w:pPr>
            <w:pStyle w:val="Spistreci1"/>
            <w:ind w:left="170"/>
            <w:rPr>
              <w:rFonts w:ascii="Calibri" w:eastAsiaTheme="minorEastAsia" w:hAnsi="Calibri"/>
            </w:rPr>
          </w:pPr>
          <w:hyperlink w:anchor="_Toc108610921" w:history="1">
            <w:r w:rsidR="00F41DA9" w:rsidRPr="00ED41DA">
              <w:rPr>
                <w:rStyle w:val="Hipercze"/>
                <w:rFonts w:ascii="Calibri" w:hAnsi="Calibri"/>
              </w:rPr>
              <w:t>Załącznik</w:t>
            </w:r>
            <w:r w:rsidR="00567DAD" w:rsidRPr="00ED41DA">
              <w:rPr>
                <w:rStyle w:val="Hipercze"/>
                <w:rFonts w:ascii="Calibri" w:hAnsi="Calibri"/>
              </w:rPr>
              <w:t xml:space="preserve"> </w:t>
            </w:r>
            <w:r w:rsidR="00BD6D9C" w:rsidRPr="00ED41DA">
              <w:rPr>
                <w:rStyle w:val="Hipercze"/>
                <w:rFonts w:ascii="Calibri" w:hAnsi="Calibri"/>
              </w:rPr>
              <w:t xml:space="preserve">– </w:t>
            </w:r>
            <w:r w:rsidR="00BD6D9C" w:rsidRPr="00ED41DA">
              <w:rPr>
                <w:rFonts w:ascii="Calibri" w:hAnsi="Calibri"/>
              </w:rPr>
              <w:t xml:space="preserve">Szczegółowe dane liczbowe i udziały w poszczególnych grupach pracowniczych </w:t>
            </w:r>
            <w:r w:rsidR="00F41DA9" w:rsidRPr="00ED41DA">
              <w:rPr>
                <w:rFonts w:ascii="Calibri" w:hAnsi="Calibri"/>
                <w:webHidden/>
              </w:rPr>
              <w:tab/>
            </w:r>
            <w:r w:rsidR="00882C2F" w:rsidRPr="00ED41DA">
              <w:rPr>
                <w:rFonts w:ascii="Calibri" w:hAnsi="Calibri"/>
                <w:webHidden/>
              </w:rPr>
              <w:t xml:space="preserve"> </w:t>
            </w:r>
            <w:r w:rsidR="00F41DA9" w:rsidRPr="00ED41DA">
              <w:rPr>
                <w:rFonts w:ascii="Calibri" w:hAnsi="Calibri"/>
                <w:b/>
                <w:webHidden/>
              </w:rPr>
              <w:fldChar w:fldCharType="begin"/>
            </w:r>
            <w:r w:rsidR="00F41DA9" w:rsidRPr="00ED41DA">
              <w:rPr>
                <w:rFonts w:ascii="Calibri" w:hAnsi="Calibri"/>
                <w:webHidden/>
              </w:rPr>
              <w:instrText xml:space="preserve"> PAGEREF _Toc108610921 \h </w:instrText>
            </w:r>
            <w:r w:rsidR="00F41DA9" w:rsidRPr="00ED41DA">
              <w:rPr>
                <w:rFonts w:ascii="Calibri" w:hAnsi="Calibri"/>
                <w:b/>
                <w:webHidden/>
              </w:rPr>
            </w:r>
            <w:r w:rsidR="00F41DA9" w:rsidRPr="00ED41DA">
              <w:rPr>
                <w:rFonts w:ascii="Calibri" w:hAnsi="Calibri"/>
                <w:b/>
                <w:webHidden/>
              </w:rPr>
              <w:fldChar w:fldCharType="separate"/>
            </w:r>
            <w:r w:rsidR="00ED0ED1">
              <w:rPr>
                <w:rFonts w:ascii="Calibri" w:hAnsi="Calibri"/>
                <w:webHidden/>
              </w:rPr>
              <w:t>16</w:t>
            </w:r>
            <w:r w:rsidR="00F41DA9" w:rsidRPr="00ED41DA">
              <w:rPr>
                <w:rFonts w:ascii="Calibri" w:hAnsi="Calibri"/>
                <w:b/>
                <w:webHidden/>
              </w:rPr>
              <w:fldChar w:fldCharType="end"/>
            </w:r>
          </w:hyperlink>
          <w:r w:rsidR="00B30226" w:rsidRPr="00ED41DA">
            <w:rPr>
              <w:rFonts w:ascii="Calibri" w:hAnsi="Calibri"/>
            </w:rPr>
            <w:fldChar w:fldCharType="end"/>
          </w:r>
        </w:p>
      </w:sdtContent>
    </w:sdt>
    <w:p w14:paraId="7CDC9A9D" w14:textId="3E929B7D" w:rsidR="00276B86" w:rsidRPr="00B30226" w:rsidRDefault="00276B86" w:rsidP="00567DAD">
      <w:pPr>
        <w:tabs>
          <w:tab w:val="left" w:pos="1440"/>
        </w:tabs>
      </w:pPr>
      <w:r w:rsidRPr="00416ABD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05511937" w14:textId="7719AD3A" w:rsidR="008D02A3" w:rsidRPr="00ED41DA" w:rsidRDefault="008D02A3" w:rsidP="00ED41DA">
      <w:pPr>
        <w:spacing w:before="240" w:after="240" w:line="360" w:lineRule="auto"/>
        <w:outlineLvl w:val="0"/>
        <w:rPr>
          <w:rFonts w:ascii="Calibri" w:eastAsia="MS Mincho" w:hAnsi="Calibri"/>
          <w:b/>
          <w:bCs/>
          <w:smallCaps/>
          <w:sz w:val="28"/>
          <w:szCs w:val="28"/>
        </w:rPr>
      </w:pPr>
      <w:bookmarkStart w:id="3" w:name="_Toc108610892"/>
      <w:r w:rsidRPr="00ED41DA">
        <w:rPr>
          <w:rFonts w:ascii="Calibri" w:eastAsia="MS Mincho" w:hAnsi="Calibri"/>
          <w:b/>
          <w:bCs/>
          <w:sz w:val="28"/>
          <w:szCs w:val="28"/>
        </w:rPr>
        <w:lastRenderedPageBreak/>
        <w:t>W</w:t>
      </w:r>
      <w:bookmarkEnd w:id="2"/>
      <w:r w:rsidR="00276B86" w:rsidRPr="00ED41DA">
        <w:rPr>
          <w:rFonts w:ascii="Calibri" w:eastAsia="MS Mincho" w:hAnsi="Calibri"/>
          <w:b/>
          <w:bCs/>
          <w:sz w:val="28"/>
          <w:szCs w:val="28"/>
        </w:rPr>
        <w:t>prowadzenie</w:t>
      </w:r>
      <w:bookmarkEnd w:id="3"/>
    </w:p>
    <w:p w14:paraId="13410BDB" w14:textId="767C5C4B" w:rsidR="008D02A3" w:rsidRPr="00ED41DA" w:rsidRDefault="008D02A3" w:rsidP="00ED41DA">
      <w:pPr>
        <w:spacing w:line="360" w:lineRule="auto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Najważniejszym kapitałem Zachodniopomorskiego Uniwersytetu Technologicznego w</w:t>
      </w:r>
      <w:r w:rsidR="00F045A5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Szczecinie są jego pracownicy. To oni tworzą Uczelnię i to od nich w głównej mierze zależy przyszłość i</w:t>
      </w:r>
      <w:r w:rsidR="000E520B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 xml:space="preserve">powodzenie wszystkich </w:t>
      </w:r>
      <w:r w:rsidR="00B55995" w:rsidRPr="00ED41DA">
        <w:rPr>
          <w:rFonts w:ascii="Calibri" w:eastAsia="MS Mincho" w:hAnsi="Calibri"/>
          <w:sz w:val="24"/>
          <w:szCs w:val="24"/>
        </w:rPr>
        <w:t xml:space="preserve">podejmowanych </w:t>
      </w:r>
      <w:r w:rsidRPr="00ED41DA">
        <w:rPr>
          <w:rFonts w:ascii="Calibri" w:eastAsia="MS Mincho" w:hAnsi="Calibri"/>
          <w:sz w:val="24"/>
          <w:szCs w:val="24"/>
        </w:rPr>
        <w:t>działań przez władze rektorskie i inne organy statutowe.</w:t>
      </w:r>
    </w:p>
    <w:p w14:paraId="41707EDD" w14:textId="10E08215" w:rsidR="008D02A3" w:rsidRPr="00ED41DA" w:rsidRDefault="008D02A3" w:rsidP="00ED41DA">
      <w:pPr>
        <w:spacing w:after="200" w:line="360" w:lineRule="auto"/>
        <w:rPr>
          <w:rFonts w:ascii="Calibri" w:eastAsia="MS Mincho" w:hAnsi="Calibri"/>
          <w:b/>
          <w:smallCaps/>
          <w:sz w:val="24"/>
          <w:szCs w:val="24"/>
          <w:lang w:eastAsia="en-US"/>
        </w:rPr>
      </w:pPr>
      <w:r w:rsidRPr="00ED41DA">
        <w:rPr>
          <w:rFonts w:ascii="Calibri" w:eastAsia="MS Mincho" w:hAnsi="Calibri"/>
          <w:sz w:val="24"/>
          <w:szCs w:val="24"/>
        </w:rPr>
        <w:t>Strategia Zarządzania Zasobami Ludzkimi (ZZL) w ZUT jest opisem wyzwań w obszarze polityki personalnej stojących przed Uczelnią w perspektywie lat 202</w:t>
      </w:r>
      <w:r w:rsidR="008C5D02" w:rsidRPr="00ED41DA">
        <w:rPr>
          <w:rFonts w:ascii="Calibri" w:eastAsia="MS Mincho" w:hAnsi="Calibri"/>
          <w:sz w:val="24"/>
          <w:szCs w:val="24"/>
        </w:rPr>
        <w:t>3</w:t>
      </w:r>
      <w:r w:rsidR="000E520B" w:rsidRPr="00ED41DA">
        <w:rPr>
          <w:rFonts w:ascii="Calibri" w:eastAsia="MS Mincho" w:hAnsi="Calibri"/>
          <w:sz w:val="24"/>
          <w:szCs w:val="24"/>
        </w:rPr>
        <w:t> – </w:t>
      </w:r>
      <w:r w:rsidRPr="00ED41DA">
        <w:rPr>
          <w:rFonts w:ascii="Calibri" w:eastAsia="MS Mincho" w:hAnsi="Calibri"/>
          <w:sz w:val="24"/>
          <w:szCs w:val="24"/>
        </w:rPr>
        <w:t>202</w:t>
      </w:r>
      <w:r w:rsidR="008C5D02" w:rsidRPr="00ED41DA">
        <w:rPr>
          <w:rFonts w:ascii="Calibri" w:eastAsia="MS Mincho" w:hAnsi="Calibri"/>
          <w:sz w:val="24"/>
          <w:szCs w:val="24"/>
        </w:rPr>
        <w:t>6</w:t>
      </w:r>
      <w:r w:rsidRPr="00ED41DA">
        <w:rPr>
          <w:rFonts w:ascii="Calibri" w:eastAsia="MS Mincho" w:hAnsi="Calibri"/>
          <w:sz w:val="24"/>
          <w:szCs w:val="24"/>
        </w:rPr>
        <w:t>. Kluczowe pytanie, na które próbuje odpowiedzieć niniejsze opracowanie, to jakie decyzje w obszarze HR (ang. Human</w:t>
      </w:r>
      <w:r w:rsidRPr="00ED41DA">
        <w:rPr>
          <w:rFonts w:ascii="Calibri" w:eastAsia="MS Mincho" w:hAnsi="Calibri"/>
          <w:i/>
          <w:sz w:val="24"/>
          <w:szCs w:val="24"/>
          <w:lang w:eastAsia="en-US"/>
        </w:rPr>
        <w:t xml:space="preserve"> </w:t>
      </w:r>
      <w:r w:rsidRPr="00ED41DA">
        <w:rPr>
          <w:rFonts w:ascii="Calibri" w:eastAsia="MS Mincho" w:hAnsi="Calibri"/>
          <w:iCs/>
          <w:sz w:val="24"/>
          <w:szCs w:val="24"/>
          <w:lang w:eastAsia="en-US"/>
        </w:rPr>
        <w:t>Resources</w:t>
      </w:r>
      <w:r w:rsidRPr="00ED41DA">
        <w:rPr>
          <w:rFonts w:ascii="Calibri" w:eastAsia="MS Mincho" w:hAnsi="Calibri"/>
          <w:sz w:val="24"/>
          <w:szCs w:val="24"/>
          <w:lang w:eastAsia="en-US"/>
        </w:rPr>
        <w:t>) należy podjąć, by zrealizować bieżące i</w:t>
      </w:r>
      <w:r w:rsidR="000E520B" w:rsidRPr="00ED41DA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Pr="00ED41DA">
        <w:rPr>
          <w:rFonts w:ascii="Calibri" w:eastAsia="MS Mincho" w:hAnsi="Calibri"/>
          <w:sz w:val="24"/>
          <w:szCs w:val="24"/>
          <w:lang w:eastAsia="en-US"/>
        </w:rPr>
        <w:t>dalekosiężne plany ZUT? Jednocześnie, wskazanie najważniejszych elementów polityki zatrudniania i rozwoju pracowników w Uczelni, a</w:t>
      </w:r>
      <w:r w:rsidR="000E520B" w:rsidRPr="00ED41DA">
        <w:rPr>
          <w:rFonts w:ascii="Calibri" w:eastAsia="MS Mincho" w:hAnsi="Calibri"/>
          <w:sz w:val="24"/>
          <w:szCs w:val="24"/>
          <w:lang w:eastAsia="en-US"/>
        </w:rPr>
        <w:t> 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także tych czynników, które wpływają na wzajemne relacje między władzami </w:t>
      </w:r>
      <w:r w:rsidR="000E520B" w:rsidRPr="00ED41DA">
        <w:rPr>
          <w:rFonts w:ascii="Calibri" w:eastAsia="MS Mincho" w:hAnsi="Calibri"/>
          <w:sz w:val="24"/>
          <w:szCs w:val="24"/>
          <w:lang w:eastAsia="en-US"/>
        </w:rPr>
        <w:t>r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ektorskimi a pracownikami, </w:t>
      </w:r>
      <w:r w:rsidR="000E520B" w:rsidRPr="00ED41DA">
        <w:rPr>
          <w:rFonts w:ascii="Calibri" w:eastAsia="MS Mincho" w:hAnsi="Calibri"/>
          <w:sz w:val="24"/>
          <w:szCs w:val="24"/>
          <w:lang w:eastAsia="en-US"/>
        </w:rPr>
        <w:t xml:space="preserve">co </w:t>
      </w:r>
      <w:r w:rsidRPr="00ED41DA">
        <w:rPr>
          <w:rFonts w:ascii="Calibri" w:eastAsia="MS Mincho" w:hAnsi="Calibri"/>
          <w:sz w:val="24"/>
          <w:szCs w:val="24"/>
          <w:lang w:eastAsia="en-US"/>
        </w:rPr>
        <w:t>pozwoli na wkomponowanie Strategii ZZL w</w:t>
      </w:r>
      <w:r w:rsidR="00F045A5" w:rsidRPr="00ED41DA">
        <w:rPr>
          <w:rFonts w:ascii="Calibri" w:eastAsia="MS Mincho" w:hAnsi="Calibri"/>
          <w:sz w:val="24"/>
          <w:szCs w:val="24"/>
          <w:lang w:eastAsia="en-US"/>
        </w:rPr>
        <w:t> </w:t>
      </w:r>
      <w:r w:rsidRPr="00ED41DA">
        <w:rPr>
          <w:rFonts w:ascii="Calibri" w:eastAsia="MS Mincho" w:hAnsi="Calibri"/>
          <w:sz w:val="24"/>
          <w:szCs w:val="24"/>
          <w:lang w:eastAsia="en-US"/>
        </w:rPr>
        <w:t>Strategi</w:t>
      </w:r>
      <w:r w:rsidR="00B55995" w:rsidRPr="00ED41DA">
        <w:rPr>
          <w:rFonts w:ascii="Calibri" w:eastAsia="MS Mincho" w:hAnsi="Calibri"/>
          <w:sz w:val="24"/>
          <w:szCs w:val="24"/>
          <w:lang w:eastAsia="en-US"/>
        </w:rPr>
        <w:t>ę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 Rozwoju Uczelni. Dodatkowo</w:t>
      </w:r>
      <w:r w:rsidR="004807B3" w:rsidRPr="00ED41DA">
        <w:rPr>
          <w:rFonts w:ascii="Calibri" w:eastAsia="MS Mincho" w:hAnsi="Calibri"/>
          <w:sz w:val="24"/>
          <w:szCs w:val="24"/>
          <w:lang w:eastAsia="en-US"/>
        </w:rPr>
        <w:t>,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 opracowana strategia wskazuje na zagrożenia, mogące w znacznym stopniu wpływać na różne obszary funkcjonowania Uniwersytetu.</w:t>
      </w:r>
    </w:p>
    <w:p w14:paraId="13BFC7DE" w14:textId="77777777" w:rsidR="008D02A3" w:rsidRPr="00ED41DA" w:rsidRDefault="008D02A3" w:rsidP="00ED41DA">
      <w:pPr>
        <w:spacing w:after="200" w:line="360" w:lineRule="auto"/>
        <w:jc w:val="both"/>
        <w:rPr>
          <w:rFonts w:ascii="Calibri" w:eastAsia="MS Mincho" w:hAnsi="Calibri" w:cs="Arial"/>
          <w:b/>
          <w:smallCaps/>
          <w:sz w:val="24"/>
          <w:szCs w:val="24"/>
        </w:rPr>
      </w:pPr>
      <w:r w:rsidRPr="00ED41DA">
        <w:rPr>
          <w:rFonts w:ascii="Calibri" w:eastAsia="MS Mincho" w:hAnsi="Calibri" w:cs="Arial"/>
          <w:b/>
          <w:smallCaps/>
          <w:noProof/>
          <w:sz w:val="24"/>
          <w:szCs w:val="24"/>
        </w:rPr>
        <w:drawing>
          <wp:inline distT="0" distB="0" distL="0" distR="0" wp14:anchorId="5D94E8BD" wp14:editId="2D2F5AB8">
            <wp:extent cx="5760720" cy="14249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F63527C" w14:textId="6B57F0CE" w:rsidR="008D02A3" w:rsidRPr="00ED41DA" w:rsidRDefault="008D02A3" w:rsidP="00ED41DA">
      <w:pPr>
        <w:spacing w:line="360" w:lineRule="auto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Celem Strategii ZZL jest budowa potencjału kadrowego Uczelni oraz taka jego organizacja personalna, by można było maksymalizować efektywność jej funkcjonowania oraz racjonalnie zarządzać zasobami ludzkimi. Działania te mają kształtować pracowników o</w:t>
      </w:r>
      <w:r w:rsidR="00F045A5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odpowiednich kwalifikacjach i umiejętnościach, zaangażowanych w realizację celów Uczelni i dopasowanych do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jej potrzeb.</w:t>
      </w:r>
    </w:p>
    <w:p w14:paraId="606039C9" w14:textId="77777777" w:rsidR="008D02A3" w:rsidRPr="00ED41DA" w:rsidRDefault="008D02A3" w:rsidP="00ED41DA">
      <w:pPr>
        <w:spacing w:after="200" w:line="360" w:lineRule="auto"/>
        <w:contextualSpacing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Szczegółowe cele obejmować będą następujące działania: </w:t>
      </w:r>
    </w:p>
    <w:p w14:paraId="6695AC95" w14:textId="77777777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dopasowanie struktury i wielkości zatrudnienia do efektywnej realizacji zadań Uczelni,</w:t>
      </w:r>
    </w:p>
    <w:p w14:paraId="170AC4CC" w14:textId="4FCEA750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optymalizacj</w:t>
      </w:r>
      <w:r w:rsidR="00B55995" w:rsidRPr="00ED41DA">
        <w:rPr>
          <w:rFonts w:ascii="Calibri" w:eastAsia="MS Mincho" w:hAnsi="Calibri"/>
          <w:sz w:val="24"/>
          <w:szCs w:val="24"/>
          <w:lang w:eastAsia="en-US"/>
        </w:rPr>
        <w:t>ę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 doboru kadry, szczególnie w procesie rekrutacji, pod względem kwalifikacji</w:t>
      </w:r>
      <w:r w:rsidR="00871F28" w:rsidRPr="00ED41DA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Pr="00ED41DA">
        <w:rPr>
          <w:rFonts w:ascii="Calibri" w:eastAsia="MS Mincho" w:hAnsi="Calibri"/>
          <w:sz w:val="24"/>
          <w:szCs w:val="24"/>
          <w:lang w:eastAsia="en-US"/>
        </w:rPr>
        <w:t>i</w:t>
      </w:r>
      <w:r w:rsidR="00871F28" w:rsidRPr="00ED41DA">
        <w:rPr>
          <w:rFonts w:ascii="Calibri" w:eastAsia="MS Mincho" w:hAnsi="Calibri"/>
          <w:sz w:val="24"/>
          <w:szCs w:val="24"/>
          <w:lang w:eastAsia="en-US"/>
        </w:rPr>
        <w:t> </w:t>
      </w:r>
      <w:r w:rsidRPr="00ED41DA">
        <w:rPr>
          <w:rFonts w:ascii="Calibri" w:eastAsia="MS Mincho" w:hAnsi="Calibri"/>
          <w:sz w:val="24"/>
          <w:szCs w:val="24"/>
          <w:lang w:eastAsia="en-US"/>
        </w:rPr>
        <w:t>umiejętności niezbędnych do realizacji powierzanych im zadań,</w:t>
      </w:r>
    </w:p>
    <w:p w14:paraId="132C7278" w14:textId="1D2FBD5F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wykreowanie kultury organizacyjnej zorientowanej na osiąganie zamierzonych celów</w:t>
      </w:r>
      <w:r w:rsidR="00871F28" w:rsidRPr="00ED41DA">
        <w:rPr>
          <w:rFonts w:ascii="Calibri" w:eastAsia="MS Mincho" w:hAnsi="Calibri"/>
          <w:sz w:val="24"/>
          <w:szCs w:val="24"/>
          <w:lang w:eastAsia="en-US"/>
        </w:rPr>
        <w:t>,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 np.</w:t>
      </w:r>
      <w:r w:rsidR="00ED41DA">
        <w:rPr>
          <w:rFonts w:ascii="Calibri" w:eastAsia="MS Mincho" w:hAnsi="Calibri"/>
          <w:sz w:val="24"/>
          <w:szCs w:val="24"/>
          <w:lang w:eastAsia="en-US"/>
        </w:rPr>
        <w:t> </w:t>
      </w:r>
      <w:r w:rsidRPr="00ED41DA">
        <w:rPr>
          <w:rFonts w:ascii="Calibri" w:eastAsia="MS Mincho" w:hAnsi="Calibri"/>
          <w:sz w:val="24"/>
          <w:szCs w:val="24"/>
          <w:lang w:eastAsia="en-US"/>
        </w:rPr>
        <w:t>podnoszenie jakości kształcenia, zwiększeni</w:t>
      </w:r>
      <w:r w:rsidR="00B55995" w:rsidRPr="00ED41DA">
        <w:rPr>
          <w:rFonts w:ascii="Calibri" w:eastAsia="MS Mincho" w:hAnsi="Calibri"/>
          <w:sz w:val="24"/>
          <w:szCs w:val="24"/>
          <w:lang w:eastAsia="en-US"/>
        </w:rPr>
        <w:t>e</w:t>
      </w:r>
      <w:r w:rsidRPr="00ED41DA">
        <w:rPr>
          <w:rFonts w:ascii="Calibri" w:eastAsia="MS Mincho" w:hAnsi="Calibri"/>
          <w:sz w:val="24"/>
          <w:szCs w:val="24"/>
          <w:lang w:eastAsia="en-US"/>
        </w:rPr>
        <w:t xml:space="preserve"> poziomu naukowego, itp.,</w:t>
      </w:r>
    </w:p>
    <w:p w14:paraId="2B302D74" w14:textId="3D996F51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doskonalenie systemów motywacyjnych zwiększających zaangażowanie pracowników w</w:t>
      </w:r>
      <w:r w:rsidR="00ED41DA">
        <w:rPr>
          <w:rFonts w:ascii="Calibri" w:eastAsia="MS Mincho" w:hAnsi="Calibri"/>
          <w:sz w:val="24"/>
          <w:szCs w:val="24"/>
          <w:lang w:eastAsia="en-US"/>
        </w:rPr>
        <w:t> </w:t>
      </w:r>
      <w:r w:rsidRPr="00ED41DA">
        <w:rPr>
          <w:rFonts w:ascii="Calibri" w:eastAsia="MS Mincho" w:hAnsi="Calibri"/>
          <w:sz w:val="24"/>
          <w:szCs w:val="24"/>
          <w:lang w:eastAsia="en-US"/>
        </w:rPr>
        <w:t>realizację powierzonych im zadań,</w:t>
      </w:r>
    </w:p>
    <w:p w14:paraId="724C7608" w14:textId="77777777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powiązanie systemu motywacyjnego z systemem oceny pracowników,</w:t>
      </w:r>
    </w:p>
    <w:p w14:paraId="7A590844" w14:textId="77777777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lastRenderedPageBreak/>
        <w:t>wprowadzenie systemu analizy niedoborów i przerostów zatrudnienia wśród pracowników niebędących nauczycielami akademickimi, w tym administracji centralnej,</w:t>
      </w:r>
    </w:p>
    <w:p w14:paraId="449F002E" w14:textId="5E6B8F06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podejmowanie działań mających na celu podnoszenie kwalifikacji i umiejętności zawodowych pracowników (szkolenia, dokształcanie, uprawnienia zawodowe),</w:t>
      </w:r>
      <w:r w:rsidR="00B55995" w:rsidRPr="00ED41DA">
        <w:rPr>
          <w:rFonts w:ascii="Calibri" w:eastAsia="MS Mincho" w:hAnsi="Calibri"/>
          <w:sz w:val="24"/>
          <w:szCs w:val="24"/>
          <w:lang w:eastAsia="en-US"/>
        </w:rPr>
        <w:t xml:space="preserve"> </w:t>
      </w:r>
    </w:p>
    <w:p w14:paraId="22D6B8B5" w14:textId="46FBEF8F" w:rsidR="008D02A3" w:rsidRPr="00ED41DA" w:rsidRDefault="008D02A3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poprawę warunków pracy pozwalających na skuteczną realizację zadań,</w:t>
      </w:r>
    </w:p>
    <w:p w14:paraId="4A220D87" w14:textId="3EFD846C" w:rsidR="001F16A7" w:rsidRPr="00ED41DA" w:rsidRDefault="001F16A7" w:rsidP="00ED41DA">
      <w:pPr>
        <w:numPr>
          <w:ilvl w:val="1"/>
          <w:numId w:val="8"/>
        </w:numPr>
        <w:spacing w:after="200" w:line="360" w:lineRule="auto"/>
        <w:ind w:left="34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  <w:lang w:eastAsia="en-US"/>
        </w:rPr>
        <w:t>opracowanie systemu kontroli efektywności wykorzystania zasobów ludzkich.</w:t>
      </w:r>
    </w:p>
    <w:p w14:paraId="0DDCFF1D" w14:textId="300E2057" w:rsidR="008D02A3" w:rsidRPr="00ED41DA" w:rsidRDefault="008D02A3" w:rsidP="00ED41DA">
      <w:pPr>
        <w:pStyle w:val="Akapitzlist"/>
        <w:numPr>
          <w:ilvl w:val="0"/>
          <w:numId w:val="6"/>
        </w:numPr>
        <w:spacing w:after="120" w:line="360" w:lineRule="auto"/>
        <w:ind w:left="340" w:hanging="340"/>
        <w:contextualSpacing w:val="0"/>
        <w:outlineLvl w:val="0"/>
        <w:rPr>
          <w:rFonts w:ascii="Calibri" w:eastAsia="MS Mincho" w:hAnsi="Calibri"/>
          <w:b/>
          <w:bCs/>
          <w:smallCaps/>
          <w:sz w:val="28"/>
          <w:szCs w:val="28"/>
        </w:rPr>
      </w:pPr>
      <w:bookmarkStart w:id="4" w:name="_Toc42278671"/>
      <w:bookmarkStart w:id="5" w:name="_Toc108610893"/>
      <w:bookmarkStart w:id="6" w:name="_Toc39574932"/>
      <w:r w:rsidRPr="00ED41DA">
        <w:rPr>
          <w:rFonts w:ascii="Calibri" w:eastAsia="MS Mincho" w:hAnsi="Calibri"/>
          <w:b/>
          <w:bCs/>
          <w:sz w:val="28"/>
          <w:szCs w:val="28"/>
        </w:rPr>
        <w:t xml:space="preserve">Misja i wizja Zarządzania Zasobami </w:t>
      </w:r>
      <w:r w:rsidRPr="00ED41DA">
        <w:rPr>
          <w:rFonts w:ascii="Calibri" w:eastAsia="MS Mincho" w:hAnsi="Calibri"/>
          <w:b/>
          <w:bCs/>
          <w:sz w:val="28"/>
          <w:szCs w:val="28"/>
          <w:lang w:eastAsia="en-US"/>
        </w:rPr>
        <w:t>Ludzkimi</w:t>
      </w:r>
      <w:r w:rsidRPr="00ED41DA">
        <w:rPr>
          <w:rFonts w:ascii="Calibri" w:eastAsia="MS Mincho" w:hAnsi="Calibri"/>
          <w:b/>
          <w:bCs/>
          <w:sz w:val="28"/>
          <w:szCs w:val="28"/>
        </w:rPr>
        <w:t xml:space="preserve"> w ZUT</w:t>
      </w:r>
      <w:bookmarkEnd w:id="4"/>
      <w:bookmarkEnd w:id="5"/>
    </w:p>
    <w:p w14:paraId="7233AC89" w14:textId="03EFBDB9" w:rsidR="008D02A3" w:rsidRPr="00ED41DA" w:rsidRDefault="008D02A3" w:rsidP="00ED41DA">
      <w:pPr>
        <w:pStyle w:val="Akapitzlist"/>
        <w:numPr>
          <w:ilvl w:val="1"/>
          <w:numId w:val="7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7" w:name="_Toc108610894"/>
      <w:r w:rsidRPr="00ED41DA">
        <w:rPr>
          <w:rFonts w:ascii="Calibri" w:eastAsia="MS Mincho" w:hAnsi="Calibri"/>
          <w:b/>
          <w:bCs/>
          <w:sz w:val="24"/>
          <w:szCs w:val="24"/>
        </w:rPr>
        <w:t>Misja HR</w:t>
      </w:r>
      <w:bookmarkEnd w:id="7"/>
    </w:p>
    <w:p w14:paraId="436EFC08" w14:textId="77777777" w:rsidR="008D02A3" w:rsidRPr="00ED41DA" w:rsidRDefault="008D02A3" w:rsidP="00ED41DA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Nasze największe wyzwanie stanowi budowanie i zapewnianie zdolności rozwoju ZUT. Wspieramy efektywne zarządzanie i rozwój pracowników zgodnie z potrzebami Uczelni. Tworzymy i stosujemy praktyki oraz nowoczesne rozwiązania z zakresu HR, które przynoszą pozytywne rezultaty dla studentów, pracowników i władz Uczelni.</w:t>
      </w:r>
    </w:p>
    <w:p w14:paraId="688F87D6" w14:textId="3FAB8BC9" w:rsidR="008D02A3" w:rsidRPr="00ED41DA" w:rsidRDefault="008D02A3" w:rsidP="00ED41DA">
      <w:pPr>
        <w:pStyle w:val="Akapitzlist"/>
        <w:numPr>
          <w:ilvl w:val="1"/>
          <w:numId w:val="7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8" w:name="_Toc108610895"/>
      <w:r w:rsidRPr="00ED41DA">
        <w:rPr>
          <w:rFonts w:ascii="Calibri" w:eastAsia="MS Mincho" w:hAnsi="Calibri"/>
          <w:b/>
          <w:bCs/>
          <w:sz w:val="24"/>
          <w:szCs w:val="24"/>
        </w:rPr>
        <w:t>Wizja HR</w:t>
      </w:r>
      <w:bookmarkEnd w:id="8"/>
    </w:p>
    <w:p w14:paraId="655B0BDC" w14:textId="30A6289A" w:rsidR="008D02A3" w:rsidRPr="00ED41DA" w:rsidRDefault="008D02A3" w:rsidP="00ED41DA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Chcemy rekrutować, rozwijać i wspierać osoby, których praca przyczynia się do wzrostu znaczenia i prestiżu Zachodniopomorskiego Uniwersytetu Technologicznego w</w:t>
      </w:r>
      <w:r w:rsidR="00A926CC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Szczecinie.</w:t>
      </w:r>
    </w:p>
    <w:p w14:paraId="70E2DF12" w14:textId="22F9922C" w:rsidR="008D02A3" w:rsidRPr="00ED41DA" w:rsidRDefault="008D02A3" w:rsidP="00ED41DA">
      <w:pPr>
        <w:pStyle w:val="Akapitzlist"/>
        <w:numPr>
          <w:ilvl w:val="0"/>
          <w:numId w:val="6"/>
        </w:numPr>
        <w:spacing w:before="240" w:line="360" w:lineRule="auto"/>
        <w:ind w:left="340" w:hanging="340"/>
        <w:contextualSpacing w:val="0"/>
        <w:outlineLvl w:val="0"/>
        <w:rPr>
          <w:rFonts w:ascii="Calibri" w:eastAsia="MS Mincho" w:hAnsi="Calibri"/>
          <w:b/>
          <w:bCs/>
          <w:smallCaps/>
          <w:sz w:val="28"/>
          <w:szCs w:val="28"/>
        </w:rPr>
      </w:pPr>
      <w:bookmarkStart w:id="9" w:name="_Toc42278672"/>
      <w:bookmarkStart w:id="10" w:name="_Toc108610896"/>
      <w:r w:rsidRPr="00ED41DA">
        <w:rPr>
          <w:rFonts w:ascii="Calibri" w:eastAsia="MS Mincho" w:hAnsi="Calibri"/>
          <w:b/>
          <w:bCs/>
          <w:sz w:val="28"/>
          <w:szCs w:val="28"/>
          <w:lang w:eastAsia="en-US"/>
        </w:rPr>
        <w:t>Przygotowanie</w:t>
      </w:r>
      <w:r w:rsidRPr="00ED41DA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871F28" w:rsidRPr="00ED41DA">
        <w:rPr>
          <w:rFonts w:ascii="Calibri" w:eastAsia="MS Mincho" w:hAnsi="Calibri"/>
          <w:b/>
          <w:bCs/>
          <w:sz w:val="28"/>
          <w:szCs w:val="28"/>
        </w:rPr>
        <w:t>S</w:t>
      </w:r>
      <w:r w:rsidRPr="00ED41DA">
        <w:rPr>
          <w:rFonts w:ascii="Calibri" w:eastAsia="MS Mincho" w:hAnsi="Calibri"/>
          <w:b/>
          <w:bCs/>
          <w:sz w:val="28"/>
          <w:szCs w:val="28"/>
        </w:rPr>
        <w:t>trategii ZZL</w:t>
      </w:r>
      <w:bookmarkEnd w:id="9"/>
      <w:bookmarkEnd w:id="10"/>
    </w:p>
    <w:p w14:paraId="4A94A1CF" w14:textId="77E043C7" w:rsidR="008D02A3" w:rsidRPr="00ED41DA" w:rsidRDefault="008D02A3" w:rsidP="00ED41DA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11" w:name="_Toc108610897"/>
      <w:r w:rsidRPr="00ED41DA">
        <w:rPr>
          <w:rFonts w:ascii="Calibri" w:eastAsia="MS Mincho" w:hAnsi="Calibri"/>
          <w:b/>
          <w:bCs/>
          <w:sz w:val="24"/>
          <w:szCs w:val="24"/>
        </w:rPr>
        <w:t>Akty prawne, dokumenty wewnętrzne i praktyki obowiązujące w ZUT</w:t>
      </w:r>
      <w:bookmarkEnd w:id="11"/>
      <w:r w:rsidRPr="00ED41DA">
        <w:rPr>
          <w:rFonts w:ascii="Calibri" w:eastAsia="MS Mincho" w:hAnsi="Calibri"/>
          <w:b/>
          <w:bCs/>
          <w:sz w:val="24"/>
          <w:szCs w:val="24"/>
        </w:rPr>
        <w:t xml:space="preserve"> </w:t>
      </w:r>
    </w:p>
    <w:p w14:paraId="43106E2C" w14:textId="0C7B0BBC" w:rsidR="008D02A3" w:rsidRPr="00ED41DA" w:rsidRDefault="008D02A3" w:rsidP="00ED41DA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Uczelnia w swoich działaniach przestrzega obowiązujących norm prawnych. Ma prawo do samodzielnego określenia misji i wizji oraz wynikających z nich szczegółowych celów i</w:t>
      </w:r>
      <w:r w:rsidR="004F7F9B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zadań tworząc regulacje określające sposób działania. Wszystkie procedury związane z</w:t>
      </w:r>
      <w:r w:rsidR="004F7F9B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zadaniami, inicjatywami badawczo-dydaktycznymi, konkursami na stanowiska, awansami pracowników, nagrodami, naborem i</w:t>
      </w:r>
      <w:r w:rsidR="001A3293" w:rsidRPr="00ED41DA">
        <w:rPr>
          <w:rFonts w:ascii="Calibri" w:eastAsia="MS Mincho" w:hAnsi="Calibri"/>
          <w:sz w:val="24"/>
          <w:szCs w:val="24"/>
        </w:rPr>
        <w:t> p</w:t>
      </w:r>
      <w:r w:rsidRPr="00ED41DA">
        <w:rPr>
          <w:rFonts w:ascii="Calibri" w:eastAsia="MS Mincho" w:hAnsi="Calibri"/>
          <w:sz w:val="24"/>
          <w:szCs w:val="24"/>
        </w:rPr>
        <w:t xml:space="preserve">romocją opierają się na zapisach aktów prawnych, do których głównie należy wdrożenie zasad ustawy z dnia 20 lipca 2018 r. </w:t>
      </w:r>
      <w:r w:rsidRPr="00ED41DA">
        <w:rPr>
          <w:rFonts w:ascii="Calibri" w:eastAsia="MS Mincho" w:hAnsi="Calibri"/>
          <w:i/>
          <w:iCs/>
          <w:sz w:val="24"/>
          <w:szCs w:val="24"/>
        </w:rPr>
        <w:t>Prawo o szkolnictwie wyższym i nauce</w:t>
      </w:r>
      <w:r w:rsidRPr="00ED41DA">
        <w:rPr>
          <w:rFonts w:ascii="Calibri" w:eastAsia="MS Mincho" w:hAnsi="Calibri"/>
          <w:sz w:val="24"/>
          <w:szCs w:val="24"/>
        </w:rPr>
        <w:t xml:space="preserve"> oraz ustawy z dnia 3 lipca 2018 r. </w:t>
      </w:r>
      <w:r w:rsidRPr="00ED41DA">
        <w:rPr>
          <w:rFonts w:ascii="Calibri" w:eastAsia="MS Mincho" w:hAnsi="Calibri"/>
          <w:i/>
          <w:iCs/>
          <w:sz w:val="24"/>
          <w:szCs w:val="24"/>
        </w:rPr>
        <w:t>Przepisy wprowadzające ustawę Prawo o szkolnictwie wyższym i nauce</w:t>
      </w:r>
      <w:r w:rsidRPr="00ED41DA">
        <w:rPr>
          <w:rFonts w:ascii="Calibri" w:eastAsia="MS Mincho" w:hAnsi="Calibri"/>
          <w:sz w:val="24"/>
          <w:szCs w:val="24"/>
        </w:rPr>
        <w:t>.</w:t>
      </w:r>
    </w:p>
    <w:p w14:paraId="685F5E01" w14:textId="7E2ABD00" w:rsidR="008D02A3" w:rsidRPr="00ED41DA" w:rsidRDefault="008D02A3" w:rsidP="00ED41DA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 xml:space="preserve">Ustawy te nakładają na </w:t>
      </w:r>
      <w:r w:rsidR="001A3293" w:rsidRPr="00ED41DA">
        <w:rPr>
          <w:rFonts w:ascii="Calibri" w:eastAsia="MS Mincho" w:hAnsi="Calibri"/>
          <w:sz w:val="24"/>
          <w:szCs w:val="24"/>
        </w:rPr>
        <w:t>U</w:t>
      </w:r>
      <w:r w:rsidRPr="00ED41DA">
        <w:rPr>
          <w:rFonts w:ascii="Calibri" w:eastAsia="MS Mincho" w:hAnsi="Calibri"/>
          <w:sz w:val="24"/>
          <w:szCs w:val="24"/>
        </w:rPr>
        <w:t>czelnię wprowadzenie szeregu uregulowań, zgodnych z</w:t>
      </w:r>
      <w:r w:rsidR="004F7F9B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Kodeksem Pracy z dnia 26 czerwca 1974 r., które znajdują odzwierciedlenie w niżej wymienionych aktach prawnych:</w:t>
      </w:r>
    </w:p>
    <w:p w14:paraId="2DA64C44" w14:textId="0E8DA0CC" w:rsidR="008D02A3" w:rsidRPr="00ED41DA" w:rsidRDefault="001D3A39" w:rsidP="00ED41DA">
      <w:pPr>
        <w:numPr>
          <w:ilvl w:val="0"/>
          <w:numId w:val="2"/>
        </w:numPr>
        <w:spacing w:after="200" w:line="360" w:lineRule="auto"/>
        <w:ind w:left="68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u</w:t>
      </w:r>
      <w:r w:rsidR="008D02A3" w:rsidRPr="00ED41DA">
        <w:rPr>
          <w:rFonts w:ascii="Calibri" w:eastAsia="MS Mincho" w:hAnsi="Calibri"/>
          <w:sz w:val="24"/>
          <w:szCs w:val="24"/>
        </w:rPr>
        <w:t>chwa</w:t>
      </w:r>
      <w:r w:rsidR="007765CD" w:rsidRPr="00ED41DA">
        <w:rPr>
          <w:rFonts w:ascii="Calibri" w:eastAsia="MS Mincho" w:hAnsi="Calibri"/>
          <w:sz w:val="24"/>
          <w:szCs w:val="24"/>
        </w:rPr>
        <w:t>le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 </w:t>
      </w:r>
      <w:r w:rsidRPr="00ED41DA">
        <w:rPr>
          <w:rFonts w:ascii="Calibri" w:eastAsia="MS Mincho" w:hAnsi="Calibri"/>
          <w:sz w:val="24"/>
          <w:szCs w:val="24"/>
        </w:rPr>
        <w:t>n</w:t>
      </w:r>
      <w:r w:rsidR="008D02A3" w:rsidRPr="00ED41DA">
        <w:rPr>
          <w:rFonts w:ascii="Calibri" w:eastAsia="MS Mincho" w:hAnsi="Calibri"/>
          <w:sz w:val="24"/>
          <w:szCs w:val="24"/>
        </w:rPr>
        <w:t>r 75 Senatu Z</w:t>
      </w:r>
      <w:r w:rsidR="00871F28" w:rsidRPr="00ED41DA">
        <w:rPr>
          <w:rFonts w:ascii="Calibri" w:eastAsia="MS Mincho" w:hAnsi="Calibri"/>
          <w:sz w:val="24"/>
          <w:szCs w:val="24"/>
        </w:rPr>
        <w:t xml:space="preserve">UT 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z dnia 28 czerwca 2019 r. w sprawie uchwalenia statutu Zachodniopomorskiego Uniwersytetu Technologicznego w Szczecinie </w:t>
      </w:r>
      <w:bookmarkStart w:id="12" w:name="_Hlk108431027"/>
      <w:r w:rsidR="008D02A3" w:rsidRPr="00ED41DA">
        <w:rPr>
          <w:rFonts w:ascii="Calibri" w:eastAsia="MS Mincho" w:hAnsi="Calibri"/>
          <w:sz w:val="24"/>
          <w:szCs w:val="24"/>
        </w:rPr>
        <w:t>(z późn. zm.),</w:t>
      </w:r>
      <w:bookmarkEnd w:id="12"/>
    </w:p>
    <w:p w14:paraId="5FC8A8DD" w14:textId="2FCB6CD2" w:rsidR="008D02A3" w:rsidRPr="00ED41DA" w:rsidRDefault="001D3A39" w:rsidP="00ED41DA">
      <w:pPr>
        <w:numPr>
          <w:ilvl w:val="0"/>
          <w:numId w:val="2"/>
        </w:numPr>
        <w:spacing w:after="200" w:line="360" w:lineRule="auto"/>
        <w:ind w:left="68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lastRenderedPageBreak/>
        <w:t>z</w:t>
      </w:r>
      <w:r w:rsidR="008D02A3" w:rsidRPr="00ED41DA">
        <w:rPr>
          <w:rFonts w:ascii="Calibri" w:eastAsia="MS Mincho" w:hAnsi="Calibri"/>
          <w:sz w:val="24"/>
          <w:szCs w:val="24"/>
        </w:rPr>
        <w:t>arządzeni</w:t>
      </w:r>
      <w:r w:rsidR="007765CD" w:rsidRPr="00ED41DA">
        <w:rPr>
          <w:rFonts w:ascii="Calibri" w:eastAsia="MS Mincho" w:hAnsi="Calibri"/>
          <w:sz w:val="24"/>
          <w:szCs w:val="24"/>
        </w:rPr>
        <w:t>u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 </w:t>
      </w:r>
      <w:r w:rsidRPr="00ED41DA">
        <w:rPr>
          <w:rFonts w:ascii="Calibri" w:eastAsia="MS Mincho" w:hAnsi="Calibri"/>
          <w:sz w:val="24"/>
          <w:szCs w:val="24"/>
        </w:rPr>
        <w:t>n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r 52 Rektora </w:t>
      </w:r>
      <w:r w:rsidR="0087742F" w:rsidRPr="00ED41DA">
        <w:rPr>
          <w:rFonts w:ascii="Calibri" w:eastAsia="MS Mincho" w:hAnsi="Calibri"/>
          <w:sz w:val="24"/>
          <w:szCs w:val="24"/>
        </w:rPr>
        <w:t xml:space="preserve">ZUT </w:t>
      </w:r>
      <w:r w:rsidR="008D02A3" w:rsidRPr="00ED41DA">
        <w:rPr>
          <w:rFonts w:ascii="Calibri" w:eastAsia="MS Mincho" w:hAnsi="Calibri"/>
          <w:sz w:val="24"/>
          <w:szCs w:val="24"/>
        </w:rPr>
        <w:t>z dnia 16 września 2019 r. w sprawie wprowadzenia Regulaminu pracy Zachodniopomorskiego Uniwersytetu Technologicznego w Szczecinie (z</w:t>
      </w:r>
      <w:r w:rsidR="0087742F" w:rsidRPr="00ED41DA">
        <w:rPr>
          <w:rFonts w:ascii="Calibri" w:eastAsia="MS Mincho" w:hAnsi="Calibri"/>
          <w:sz w:val="24"/>
          <w:szCs w:val="24"/>
        </w:rPr>
        <w:t> </w:t>
      </w:r>
      <w:r w:rsidR="008D02A3" w:rsidRPr="00ED41DA">
        <w:rPr>
          <w:rFonts w:ascii="Calibri" w:eastAsia="MS Mincho" w:hAnsi="Calibri"/>
          <w:sz w:val="24"/>
          <w:szCs w:val="24"/>
        </w:rPr>
        <w:t>późn. zm.),</w:t>
      </w:r>
    </w:p>
    <w:p w14:paraId="30031029" w14:textId="68DAE7AD" w:rsidR="008D02A3" w:rsidRPr="00ED41DA" w:rsidRDefault="001D3A39" w:rsidP="00ED41DA">
      <w:pPr>
        <w:numPr>
          <w:ilvl w:val="0"/>
          <w:numId w:val="2"/>
        </w:numPr>
        <w:spacing w:after="200" w:line="360" w:lineRule="auto"/>
        <w:ind w:left="680" w:hanging="340"/>
        <w:contextualSpacing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>z</w:t>
      </w:r>
      <w:r w:rsidR="008D02A3" w:rsidRPr="00ED41DA">
        <w:rPr>
          <w:rFonts w:ascii="Calibri" w:eastAsia="MS Mincho" w:hAnsi="Calibri"/>
          <w:sz w:val="24"/>
          <w:szCs w:val="24"/>
        </w:rPr>
        <w:t>arządzeni</w:t>
      </w:r>
      <w:r w:rsidR="007765CD" w:rsidRPr="00ED41DA">
        <w:rPr>
          <w:rFonts w:ascii="Calibri" w:eastAsia="MS Mincho" w:hAnsi="Calibri"/>
          <w:sz w:val="24"/>
          <w:szCs w:val="24"/>
        </w:rPr>
        <w:t>u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 </w:t>
      </w:r>
      <w:r w:rsidRPr="00ED41DA">
        <w:rPr>
          <w:rFonts w:ascii="Calibri" w:eastAsia="MS Mincho" w:hAnsi="Calibri"/>
          <w:sz w:val="24"/>
          <w:szCs w:val="24"/>
        </w:rPr>
        <w:t>n</w:t>
      </w:r>
      <w:r w:rsidR="008D02A3" w:rsidRPr="00ED41DA">
        <w:rPr>
          <w:rFonts w:ascii="Calibri" w:eastAsia="MS Mincho" w:hAnsi="Calibri"/>
          <w:sz w:val="24"/>
          <w:szCs w:val="24"/>
        </w:rPr>
        <w:t xml:space="preserve">r 39 Rektora </w:t>
      </w:r>
      <w:r w:rsidR="0087742F" w:rsidRPr="00ED41DA">
        <w:rPr>
          <w:rFonts w:ascii="Calibri" w:eastAsia="MS Mincho" w:hAnsi="Calibri"/>
          <w:sz w:val="24"/>
          <w:szCs w:val="24"/>
        </w:rPr>
        <w:t xml:space="preserve">ZUT </w:t>
      </w:r>
      <w:r w:rsidR="008D02A3" w:rsidRPr="00ED41DA">
        <w:rPr>
          <w:rFonts w:ascii="Calibri" w:eastAsia="MS Mincho" w:hAnsi="Calibri"/>
          <w:sz w:val="24"/>
          <w:szCs w:val="24"/>
        </w:rPr>
        <w:t>z dnia 24 marca 2020 r. w sprawie wprowadzenia Regulaminu wynagradzania pracowników Zachodniopomorskiego Uniwersytetu Technologicznego w</w:t>
      </w:r>
      <w:r w:rsidR="004F7F9B" w:rsidRPr="00ED41DA">
        <w:rPr>
          <w:rFonts w:ascii="Calibri" w:eastAsia="MS Mincho" w:hAnsi="Calibri"/>
          <w:sz w:val="24"/>
          <w:szCs w:val="24"/>
        </w:rPr>
        <w:t> </w:t>
      </w:r>
      <w:r w:rsidR="008D02A3" w:rsidRPr="00ED41DA">
        <w:rPr>
          <w:rFonts w:ascii="Calibri" w:eastAsia="MS Mincho" w:hAnsi="Calibri"/>
          <w:sz w:val="24"/>
          <w:szCs w:val="24"/>
        </w:rPr>
        <w:t>Szczecinie (z późn. zm.),</w:t>
      </w:r>
    </w:p>
    <w:p w14:paraId="008FC1A0" w14:textId="61468492" w:rsidR="008D02A3" w:rsidRPr="00ED41DA" w:rsidRDefault="008D02A3" w:rsidP="00ED41DA">
      <w:pPr>
        <w:numPr>
          <w:ilvl w:val="0"/>
          <w:numId w:val="2"/>
        </w:numPr>
        <w:spacing w:line="360" w:lineRule="auto"/>
        <w:ind w:left="680" w:hanging="340"/>
        <w:rPr>
          <w:rFonts w:ascii="Calibri" w:eastAsia="MS Mincho" w:hAnsi="Calibri"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 xml:space="preserve">oraz </w:t>
      </w:r>
      <w:r w:rsidR="007765CD" w:rsidRPr="00ED41DA">
        <w:rPr>
          <w:rFonts w:ascii="Calibri" w:eastAsia="MS Mincho" w:hAnsi="Calibri"/>
          <w:sz w:val="24"/>
          <w:szCs w:val="24"/>
        </w:rPr>
        <w:t xml:space="preserve">w </w:t>
      </w:r>
      <w:r w:rsidRPr="00ED41DA">
        <w:rPr>
          <w:rFonts w:ascii="Calibri" w:eastAsia="MS Mincho" w:hAnsi="Calibri"/>
          <w:sz w:val="24"/>
          <w:szCs w:val="24"/>
        </w:rPr>
        <w:t>inn</w:t>
      </w:r>
      <w:r w:rsidR="007765CD" w:rsidRPr="00ED41DA">
        <w:rPr>
          <w:rFonts w:ascii="Calibri" w:eastAsia="MS Mincho" w:hAnsi="Calibri"/>
          <w:sz w:val="24"/>
          <w:szCs w:val="24"/>
        </w:rPr>
        <w:t>ych</w:t>
      </w:r>
      <w:r w:rsidRPr="00ED41DA">
        <w:rPr>
          <w:rFonts w:ascii="Calibri" w:eastAsia="MS Mincho" w:hAnsi="Calibri"/>
          <w:sz w:val="24"/>
          <w:szCs w:val="24"/>
        </w:rPr>
        <w:t xml:space="preserve"> wewnętrzn</w:t>
      </w:r>
      <w:r w:rsidR="007765CD" w:rsidRPr="00ED41DA">
        <w:rPr>
          <w:rFonts w:ascii="Calibri" w:eastAsia="MS Mincho" w:hAnsi="Calibri"/>
          <w:sz w:val="24"/>
          <w:szCs w:val="24"/>
        </w:rPr>
        <w:t>ych</w:t>
      </w:r>
      <w:r w:rsidRPr="00ED41DA">
        <w:rPr>
          <w:rFonts w:ascii="Calibri" w:eastAsia="MS Mincho" w:hAnsi="Calibri"/>
          <w:sz w:val="24"/>
          <w:szCs w:val="24"/>
        </w:rPr>
        <w:t xml:space="preserve"> akt</w:t>
      </w:r>
      <w:r w:rsidR="007765CD" w:rsidRPr="00ED41DA">
        <w:rPr>
          <w:rFonts w:ascii="Calibri" w:eastAsia="MS Mincho" w:hAnsi="Calibri"/>
          <w:sz w:val="24"/>
          <w:szCs w:val="24"/>
        </w:rPr>
        <w:t>ach</w:t>
      </w:r>
      <w:r w:rsidRPr="00ED41DA">
        <w:rPr>
          <w:rFonts w:ascii="Calibri" w:eastAsia="MS Mincho" w:hAnsi="Calibri"/>
          <w:sz w:val="24"/>
          <w:szCs w:val="24"/>
        </w:rPr>
        <w:t xml:space="preserve"> prawn</w:t>
      </w:r>
      <w:r w:rsidR="007765CD" w:rsidRPr="00ED41DA">
        <w:rPr>
          <w:rFonts w:ascii="Calibri" w:eastAsia="MS Mincho" w:hAnsi="Calibri"/>
          <w:sz w:val="24"/>
          <w:szCs w:val="24"/>
        </w:rPr>
        <w:t>ych</w:t>
      </w:r>
      <w:r w:rsidRPr="00ED41DA">
        <w:rPr>
          <w:rFonts w:ascii="Calibri" w:eastAsia="MS Mincho" w:hAnsi="Calibri"/>
          <w:sz w:val="24"/>
          <w:szCs w:val="24"/>
        </w:rPr>
        <w:t xml:space="preserve"> dotycząc</w:t>
      </w:r>
      <w:r w:rsidR="007765CD" w:rsidRPr="00ED41DA">
        <w:rPr>
          <w:rFonts w:ascii="Calibri" w:eastAsia="MS Mincho" w:hAnsi="Calibri"/>
          <w:sz w:val="24"/>
          <w:szCs w:val="24"/>
        </w:rPr>
        <w:t>ych</w:t>
      </w:r>
      <w:r w:rsidRPr="00ED41DA">
        <w:rPr>
          <w:rFonts w:ascii="Calibri" w:eastAsia="MS Mincho" w:hAnsi="Calibri"/>
          <w:sz w:val="24"/>
          <w:szCs w:val="24"/>
        </w:rPr>
        <w:t xml:space="preserve"> pracowników ZUT</w:t>
      </w:r>
      <w:r w:rsidR="001D3A39" w:rsidRPr="00ED41DA">
        <w:rPr>
          <w:rFonts w:ascii="Calibri" w:eastAsia="MS Mincho" w:hAnsi="Calibri"/>
          <w:sz w:val="24"/>
          <w:szCs w:val="24"/>
        </w:rPr>
        <w:t>.</w:t>
      </w:r>
    </w:p>
    <w:p w14:paraId="7A80479D" w14:textId="75ED43F1" w:rsidR="008D02A3" w:rsidRPr="00ED41DA" w:rsidRDefault="008D02A3" w:rsidP="00ED41DA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13" w:name="_Toc108610898"/>
      <w:r w:rsidRPr="00ED41DA">
        <w:rPr>
          <w:rFonts w:ascii="Calibri" w:eastAsia="MS Mincho" w:hAnsi="Calibri"/>
          <w:b/>
          <w:bCs/>
          <w:sz w:val="24"/>
          <w:szCs w:val="24"/>
        </w:rPr>
        <w:t>Analiza SWOT</w:t>
      </w:r>
      <w:bookmarkEnd w:id="13"/>
    </w:p>
    <w:p w14:paraId="5F6D7A72" w14:textId="68F14470" w:rsidR="00690D79" w:rsidRPr="00ED41DA" w:rsidRDefault="008D02A3" w:rsidP="00ED41DA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ED41DA">
        <w:rPr>
          <w:rFonts w:ascii="Calibri" w:eastAsia="MS Mincho" w:hAnsi="Calibri"/>
          <w:sz w:val="24"/>
          <w:szCs w:val="24"/>
        </w:rPr>
        <w:t xml:space="preserve">Wstępny etap przygotowań do opracowania </w:t>
      </w:r>
      <w:r w:rsidR="0087742F" w:rsidRPr="00ED41DA">
        <w:rPr>
          <w:rFonts w:ascii="Calibri" w:eastAsia="MS Mincho" w:hAnsi="Calibri"/>
          <w:sz w:val="24"/>
          <w:szCs w:val="24"/>
        </w:rPr>
        <w:t>S</w:t>
      </w:r>
      <w:r w:rsidRPr="00ED41DA">
        <w:rPr>
          <w:rFonts w:ascii="Calibri" w:eastAsia="MS Mincho" w:hAnsi="Calibri"/>
          <w:sz w:val="24"/>
          <w:szCs w:val="24"/>
        </w:rPr>
        <w:t>trategii obejmował przeprowadzenie analizy SWOT ujawniającej mocne i słabe strony Zachodniopomorskiego Uniwersytetu Technologicznego</w:t>
      </w:r>
      <w:r w:rsidR="0087742F" w:rsidRPr="00ED41DA">
        <w:rPr>
          <w:rFonts w:ascii="Calibri" w:eastAsia="MS Mincho" w:hAnsi="Calibri"/>
          <w:sz w:val="24"/>
          <w:szCs w:val="24"/>
        </w:rPr>
        <w:t xml:space="preserve"> </w:t>
      </w:r>
      <w:r w:rsidRPr="00ED41DA">
        <w:rPr>
          <w:rFonts w:ascii="Calibri" w:eastAsia="MS Mincho" w:hAnsi="Calibri"/>
          <w:sz w:val="24"/>
          <w:szCs w:val="24"/>
        </w:rPr>
        <w:t>w</w:t>
      </w:r>
      <w:r w:rsidR="0087742F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>Szczecinie w obszarze polityki personalnej. Najważniejsze elementy charakteryzujące czynniki wewnętrzne i zewnętrzne wpływające na bieżące i</w:t>
      </w:r>
      <w:r w:rsidR="00A926CC" w:rsidRPr="00ED41DA">
        <w:rPr>
          <w:rFonts w:ascii="Calibri" w:eastAsia="MS Mincho" w:hAnsi="Calibri"/>
          <w:sz w:val="24"/>
          <w:szCs w:val="24"/>
        </w:rPr>
        <w:t> </w:t>
      </w:r>
      <w:r w:rsidRPr="00ED41DA">
        <w:rPr>
          <w:rFonts w:ascii="Calibri" w:eastAsia="MS Mincho" w:hAnsi="Calibri"/>
          <w:sz w:val="24"/>
          <w:szCs w:val="24"/>
        </w:rPr>
        <w:t xml:space="preserve">przyszłe zarządzanie kadrami zestawiono </w:t>
      </w:r>
      <w:r w:rsidR="007765CD" w:rsidRPr="00ED41DA">
        <w:rPr>
          <w:rFonts w:ascii="Calibri" w:eastAsia="MS Mincho" w:hAnsi="Calibri"/>
          <w:sz w:val="24"/>
          <w:szCs w:val="24"/>
        </w:rPr>
        <w:t>w</w:t>
      </w:r>
      <w:r w:rsidR="0087742F" w:rsidRPr="00ED41DA">
        <w:rPr>
          <w:rFonts w:ascii="Calibri" w:eastAsia="MS Mincho" w:hAnsi="Calibri"/>
          <w:sz w:val="24"/>
          <w:szCs w:val="24"/>
        </w:rPr>
        <w:t> </w:t>
      </w:r>
      <w:r w:rsidR="007765CD" w:rsidRPr="00ED41DA">
        <w:rPr>
          <w:rFonts w:ascii="Calibri" w:eastAsia="MS Mincho" w:hAnsi="Calibri"/>
          <w:sz w:val="24"/>
          <w:szCs w:val="24"/>
        </w:rPr>
        <w:t>tabeli poniżej</w:t>
      </w:r>
      <w:r w:rsidRPr="00ED41DA">
        <w:rPr>
          <w:rFonts w:ascii="Calibri" w:eastAsia="MS Mincho" w:hAnsi="Calibri"/>
          <w:sz w:val="24"/>
          <w:szCs w:val="24"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2"/>
        <w:gridCol w:w="4346"/>
        <w:gridCol w:w="4531"/>
      </w:tblGrid>
      <w:tr w:rsidR="008D02A3" w:rsidRPr="00ED41DA" w14:paraId="29515D6F" w14:textId="77777777" w:rsidTr="00ED41DA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14:paraId="5873BB58" w14:textId="77777777" w:rsidR="008D02A3" w:rsidRPr="00ED41DA" w:rsidRDefault="008D02A3" w:rsidP="00ED41DA">
            <w:pPr>
              <w:spacing w:after="200" w:line="276" w:lineRule="auto"/>
              <w:jc w:val="center"/>
              <w:rPr>
                <w:rFonts w:ascii="Calibri" w:eastAsia="MS Mincho" w:hAnsi="Calibri"/>
                <w:b/>
                <w:smallCaps/>
                <w:lang w:eastAsia="en-US"/>
              </w:rPr>
            </w:pPr>
          </w:p>
        </w:tc>
        <w:tc>
          <w:tcPr>
            <w:tcW w:w="4346" w:type="dxa"/>
            <w:vAlign w:val="center"/>
          </w:tcPr>
          <w:p w14:paraId="6AE701CC" w14:textId="2D9F350E" w:rsidR="008D02A3" w:rsidRPr="00ED41DA" w:rsidRDefault="00ED41DA" w:rsidP="00ED41DA">
            <w:pPr>
              <w:spacing w:line="276" w:lineRule="auto"/>
              <w:jc w:val="center"/>
              <w:rPr>
                <w:rFonts w:ascii="Calibri" w:eastAsia="MS Mincho" w:hAnsi="Calibri"/>
                <w:b/>
                <w:bCs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/>
                <w:bCs/>
                <w:lang w:eastAsia="en-US"/>
              </w:rPr>
              <w:t>Pozytywne</w:t>
            </w:r>
          </w:p>
        </w:tc>
        <w:tc>
          <w:tcPr>
            <w:tcW w:w="4531" w:type="dxa"/>
            <w:vAlign w:val="center"/>
          </w:tcPr>
          <w:p w14:paraId="3B3CDF5A" w14:textId="0C7B55FE" w:rsidR="008D02A3" w:rsidRPr="00ED41DA" w:rsidRDefault="00ED41DA" w:rsidP="00ED41DA">
            <w:pPr>
              <w:spacing w:line="276" w:lineRule="auto"/>
              <w:jc w:val="center"/>
              <w:rPr>
                <w:rFonts w:ascii="Calibri" w:eastAsia="MS Mincho" w:hAnsi="Calibri"/>
                <w:b/>
                <w:bCs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/>
                <w:bCs/>
                <w:lang w:eastAsia="en-US"/>
              </w:rPr>
              <w:t>Negatywne</w:t>
            </w:r>
          </w:p>
        </w:tc>
      </w:tr>
      <w:tr w:rsidR="008D02A3" w:rsidRPr="00ED41DA" w14:paraId="2C9D45F6" w14:textId="77777777" w:rsidTr="00ED41DA">
        <w:trPr>
          <w:trHeight w:val="2552"/>
        </w:trPr>
        <w:tc>
          <w:tcPr>
            <w:tcW w:w="752" w:type="dxa"/>
            <w:textDirection w:val="btLr"/>
            <w:vAlign w:val="center"/>
          </w:tcPr>
          <w:p w14:paraId="317A27B8" w14:textId="77777777" w:rsidR="008D02A3" w:rsidRPr="00ED41DA" w:rsidRDefault="008D02A3" w:rsidP="00ED41DA">
            <w:pPr>
              <w:spacing w:line="276" w:lineRule="auto"/>
              <w:ind w:left="113" w:right="113"/>
              <w:jc w:val="center"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/>
                <w:lang w:eastAsia="en-US"/>
              </w:rPr>
              <w:t>Czynniki wewnętrzne</w:t>
            </w:r>
          </w:p>
        </w:tc>
        <w:tc>
          <w:tcPr>
            <w:tcW w:w="4346" w:type="dxa"/>
          </w:tcPr>
          <w:p w14:paraId="16224DD3" w14:textId="77777777" w:rsidR="008D02A3" w:rsidRPr="00ED41DA" w:rsidRDefault="008D02A3" w:rsidP="00ED41DA">
            <w:pPr>
              <w:spacing w:before="120" w:after="60" w:line="276" w:lineRule="auto"/>
              <w:jc w:val="center"/>
              <w:rPr>
                <w:rFonts w:ascii="Calibri" w:eastAsia="MS Mincho" w:hAnsi="Calibri"/>
                <w:bCs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Cs/>
                <w:lang w:eastAsia="en-US"/>
              </w:rPr>
              <w:t>Mocne strony</w:t>
            </w:r>
          </w:p>
          <w:p w14:paraId="3D1045BC" w14:textId="76DDAF6C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Ustalona struktura organizacyjna i system zarządzania pracownikami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34500BF9" w14:textId="319FAA9C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Wprowadzony w życie nowy regulamin wynagradzania pracowników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7DE81EA7" w14:textId="5560FD8F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Uregulowana ścieżka awansu zawodowego pracowników w grupie nauczycieli akademickich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4CECECA5" w14:textId="04EC3D74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Wprowadzony w życie system motywacyjny dla pracowników w grupie nauczycieli akademickich i niebędących nauczycielami akademickimi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383F5913" w14:textId="75FE5132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Jasno zdefiniowane kryteria oceny okresowej nauczycieli akademickich i pracowników niebędących nauczycielami akademickimi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7148ED4A" w14:textId="387DE500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Wprowadzenie procedur przeciwdziałania mobbingowi oraz powołanie Rzecznika Akademickiego (Ombudsman)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15C4235A" w14:textId="50C6F1F6" w:rsidR="008D02A3" w:rsidRPr="00ED41DA" w:rsidRDefault="008D02A3" w:rsidP="00ED41DA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Wprowadzenie planu równości płci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</w:tc>
        <w:tc>
          <w:tcPr>
            <w:tcW w:w="4531" w:type="dxa"/>
          </w:tcPr>
          <w:p w14:paraId="208CE3BA" w14:textId="77777777" w:rsidR="008D02A3" w:rsidRPr="00ED41DA" w:rsidRDefault="008D02A3" w:rsidP="00ED41DA">
            <w:pPr>
              <w:spacing w:before="120" w:after="60" w:line="276" w:lineRule="auto"/>
              <w:jc w:val="center"/>
              <w:rPr>
                <w:rFonts w:ascii="Calibri" w:eastAsia="MS Mincho" w:hAnsi="Calibri"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lang w:eastAsia="en-US"/>
              </w:rPr>
              <w:t>Słabe strony</w:t>
            </w:r>
          </w:p>
          <w:p w14:paraId="58091A9B" w14:textId="7B3476FB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Brak młodej kadry naukowej w niektórych dyscyplinach stanowi zagrożenie dla ich przyszłości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704E8373" w14:textId="26C5668F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Wysoki odsetek pracowników inżynieryjno-technicznych i obsługi administracyjnej w wieku okołoemerytalnym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0F15B623" w14:textId="43C28885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Brak sprecyzowanej ścieżki awansu pracowników z</w:t>
            </w:r>
            <w:r w:rsidR="00ED41DA">
              <w:rPr>
                <w:rFonts w:ascii="Calibri" w:eastAsia="Arial" w:hAnsi="Calibri"/>
                <w:lang w:eastAsia="en-US"/>
              </w:rPr>
              <w:t> </w:t>
            </w:r>
            <w:r w:rsidRPr="00ED41DA">
              <w:rPr>
                <w:rFonts w:ascii="Calibri" w:eastAsia="Arial" w:hAnsi="Calibri"/>
                <w:lang w:eastAsia="en-US"/>
              </w:rPr>
              <w:t>grup niebędących nauczycielami akademickimi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4EF90ACC" w14:textId="506366DF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Konieczna modernizacja laboratoriów i pomieszczeń socjalnych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432002C9" w14:textId="106E4E0F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Brak systemu metod samodoskonalenia pracowników (mentoring)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3E17A838" w14:textId="72B54F24" w:rsidR="008D02A3" w:rsidRPr="00ED41DA" w:rsidRDefault="008D02A3" w:rsidP="00ED41DA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Brak zintegrowanego systemu informatycznego zarządzania kadrami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</w:tc>
      </w:tr>
      <w:tr w:rsidR="008D02A3" w:rsidRPr="00ED41DA" w14:paraId="05B24B9E" w14:textId="77777777" w:rsidTr="00ED41DA">
        <w:trPr>
          <w:trHeight w:val="699"/>
        </w:trPr>
        <w:tc>
          <w:tcPr>
            <w:tcW w:w="752" w:type="dxa"/>
            <w:textDirection w:val="btLr"/>
            <w:vAlign w:val="center"/>
          </w:tcPr>
          <w:p w14:paraId="2891AB23" w14:textId="77777777" w:rsidR="008D02A3" w:rsidRPr="00ED41DA" w:rsidRDefault="008D02A3" w:rsidP="00ED41DA">
            <w:pPr>
              <w:spacing w:line="276" w:lineRule="auto"/>
              <w:ind w:left="113" w:right="113"/>
              <w:jc w:val="center"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/>
                <w:lang w:eastAsia="en-US"/>
              </w:rPr>
              <w:t>Czynniki zewnętrzne</w:t>
            </w:r>
          </w:p>
        </w:tc>
        <w:tc>
          <w:tcPr>
            <w:tcW w:w="4346" w:type="dxa"/>
          </w:tcPr>
          <w:p w14:paraId="775F1D1A" w14:textId="77777777" w:rsidR="008D02A3" w:rsidRPr="00ED41DA" w:rsidRDefault="008D02A3" w:rsidP="00ED41DA">
            <w:pPr>
              <w:spacing w:before="120" w:after="60" w:line="276" w:lineRule="auto"/>
              <w:jc w:val="center"/>
              <w:rPr>
                <w:rFonts w:ascii="Calibri" w:eastAsia="MS Mincho" w:hAnsi="Calibri"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bCs/>
                <w:lang w:eastAsia="en-US"/>
              </w:rPr>
              <w:t>Szanse</w:t>
            </w:r>
          </w:p>
          <w:p w14:paraId="16EC61EA" w14:textId="30AA1309" w:rsidR="008D02A3" w:rsidRPr="00ED41DA" w:rsidRDefault="008D02A3" w:rsidP="00ED41DA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Postrzeganie Uczelni jako pewnego i stabilnego pracodawcy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0574FE0A" w14:textId="07A91CF6" w:rsidR="008D02A3" w:rsidRPr="00ED41DA" w:rsidRDefault="008D02A3" w:rsidP="00ED41DA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Prestiż pracy na Uczelni i rozpoznawalność ZUT w regionie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744289AA" w14:textId="436D38B4" w:rsidR="008D02A3" w:rsidRPr="00ED41DA" w:rsidRDefault="008D02A3" w:rsidP="00ED41DA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 xml:space="preserve">Wdrażanie polityki kadrowej zgodnej z Europejską Kartą Naukowca i Kodeksu Etycznego potwierdzone przyznaniem ZUT prawa do korzystania z logo </w:t>
            </w:r>
            <w:r w:rsidRPr="00ED41DA">
              <w:rPr>
                <w:rFonts w:ascii="Calibri" w:eastAsia="Arial" w:hAnsi="Calibri"/>
                <w:i/>
                <w:iCs/>
                <w:lang w:eastAsia="en-US"/>
              </w:rPr>
              <w:t>HR Excellence in</w:t>
            </w:r>
            <w:r w:rsidR="00ED41DA">
              <w:rPr>
                <w:rFonts w:ascii="Calibri" w:eastAsia="Arial" w:hAnsi="Calibri"/>
                <w:i/>
                <w:iCs/>
                <w:lang w:eastAsia="en-US"/>
              </w:rPr>
              <w:t> </w:t>
            </w:r>
            <w:r w:rsidRPr="00ED41DA">
              <w:rPr>
                <w:rFonts w:ascii="Calibri" w:eastAsia="Arial" w:hAnsi="Calibri"/>
                <w:i/>
                <w:iCs/>
                <w:lang w:eastAsia="en-US"/>
              </w:rPr>
              <w:t>Research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37A83C43" w14:textId="5846BB73" w:rsidR="008D02A3" w:rsidRPr="00ED41DA" w:rsidRDefault="008D02A3" w:rsidP="00ED41DA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Niestabilna sytuacja gospodarcza wpływająca na rynek pracy, daje możliwość znalezienia potrzebnych specjalistów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</w:tc>
        <w:tc>
          <w:tcPr>
            <w:tcW w:w="4531" w:type="dxa"/>
          </w:tcPr>
          <w:p w14:paraId="4C1CB9C5" w14:textId="77777777" w:rsidR="008D02A3" w:rsidRPr="00ED41DA" w:rsidRDefault="008D02A3" w:rsidP="00ED41DA">
            <w:pPr>
              <w:spacing w:before="120" w:after="60" w:line="276" w:lineRule="auto"/>
              <w:jc w:val="center"/>
              <w:rPr>
                <w:rFonts w:ascii="Calibri" w:eastAsia="MS Mincho" w:hAnsi="Calibri"/>
                <w:smallCaps/>
                <w:lang w:eastAsia="en-US"/>
              </w:rPr>
            </w:pPr>
            <w:r w:rsidRPr="00ED41DA">
              <w:rPr>
                <w:rFonts w:ascii="Calibri" w:eastAsia="MS Mincho" w:hAnsi="Calibri"/>
                <w:lang w:eastAsia="en-US"/>
              </w:rPr>
              <w:t>Zagrożenia</w:t>
            </w:r>
          </w:p>
          <w:p w14:paraId="050F95D5" w14:textId="2C92096A" w:rsidR="008D02A3" w:rsidRPr="00ED41DA" w:rsidRDefault="008D02A3" w:rsidP="00ED41DA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Duże dysproporcje w wynagrodzeniu pracowników Uczelni w porównaniu z ofertami na rynku pracy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41F3C8FF" w14:textId="3A8001A7" w:rsidR="008D02A3" w:rsidRPr="00ED41DA" w:rsidRDefault="008D02A3" w:rsidP="00ED41DA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Niewielka liczba doktorantów Szkoły Doktorskiej może utrudniać pozyskiwanie najlepszych z nich do</w:t>
            </w:r>
            <w:r w:rsidR="00ED41DA">
              <w:rPr>
                <w:rFonts w:ascii="Calibri" w:eastAsia="Arial" w:hAnsi="Calibri"/>
                <w:lang w:eastAsia="en-US"/>
              </w:rPr>
              <w:t> </w:t>
            </w:r>
            <w:r w:rsidRPr="00ED41DA">
              <w:rPr>
                <w:rFonts w:ascii="Calibri" w:eastAsia="Arial" w:hAnsi="Calibri"/>
                <w:lang w:eastAsia="en-US"/>
              </w:rPr>
              <w:t>pracy badawczo-dydaktycznej i uzupełnienia luki pokoleniowej w niektórych dyscyplinach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4072B674" w14:textId="3B5F4BEE" w:rsidR="008D02A3" w:rsidRPr="00ED41DA" w:rsidRDefault="008D02A3" w:rsidP="00ED41DA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ascii="Calibri" w:eastAsia="Arial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Niż demograficzny wpływa na gorsze wyniki rekrutacji studentów na niektóre kierunki studiów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  <w:p w14:paraId="0BCE557D" w14:textId="3E2EBA24" w:rsidR="008D02A3" w:rsidRPr="00ED41DA" w:rsidRDefault="008D02A3" w:rsidP="00ED41DA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ascii="Calibri" w:eastAsia="MS Mincho" w:hAnsi="Calibri"/>
                <w:b/>
                <w:smallCaps/>
                <w:lang w:eastAsia="en-US"/>
              </w:rPr>
            </w:pPr>
            <w:r w:rsidRPr="00ED41DA">
              <w:rPr>
                <w:rFonts w:ascii="Calibri" w:eastAsia="Arial" w:hAnsi="Calibri"/>
                <w:lang w:eastAsia="en-US"/>
              </w:rPr>
              <w:t>Niestabilna sytuacja gospodarcza wpływa na zmniejszenie zaangażowania przedsiębiorstw na prowadzenie wspólnych badań naukowych i</w:t>
            </w:r>
            <w:r w:rsidR="00ED41DA">
              <w:rPr>
                <w:rFonts w:ascii="Calibri" w:eastAsia="Arial" w:hAnsi="Calibri"/>
                <w:lang w:eastAsia="en-US"/>
              </w:rPr>
              <w:t> </w:t>
            </w:r>
            <w:r w:rsidRPr="00ED41DA">
              <w:rPr>
                <w:rFonts w:ascii="Calibri" w:eastAsia="Arial" w:hAnsi="Calibri"/>
                <w:lang w:eastAsia="en-US"/>
              </w:rPr>
              <w:t>prac rozwojowych</w:t>
            </w:r>
            <w:r w:rsidR="001D3A39" w:rsidRPr="00ED41DA">
              <w:rPr>
                <w:rFonts w:ascii="Calibri" w:eastAsia="Arial" w:hAnsi="Calibri"/>
                <w:lang w:eastAsia="en-US"/>
              </w:rPr>
              <w:t>.</w:t>
            </w:r>
          </w:p>
        </w:tc>
      </w:tr>
    </w:tbl>
    <w:p w14:paraId="012D477B" w14:textId="77777777" w:rsidR="008D02A3" w:rsidRPr="004502BD" w:rsidRDefault="008D02A3" w:rsidP="004502BD">
      <w:pPr>
        <w:numPr>
          <w:ilvl w:val="0"/>
          <w:numId w:val="6"/>
        </w:numPr>
        <w:spacing w:before="240" w:line="360" w:lineRule="auto"/>
        <w:ind w:left="340" w:hanging="340"/>
        <w:outlineLvl w:val="0"/>
        <w:rPr>
          <w:rFonts w:ascii="Calibri" w:eastAsia="MS Mincho" w:hAnsi="Calibri"/>
          <w:b/>
          <w:smallCaps/>
          <w:sz w:val="28"/>
          <w:szCs w:val="28"/>
        </w:rPr>
      </w:pPr>
      <w:bookmarkStart w:id="14" w:name="_Toc108610899"/>
      <w:r w:rsidRPr="004502BD">
        <w:rPr>
          <w:rFonts w:ascii="Calibri" w:eastAsia="MS Mincho" w:hAnsi="Calibri"/>
          <w:b/>
          <w:sz w:val="28"/>
          <w:szCs w:val="28"/>
        </w:rPr>
        <w:lastRenderedPageBreak/>
        <w:t>Otoczenie wewnętrzne Uczelni</w:t>
      </w:r>
      <w:bookmarkEnd w:id="14"/>
    </w:p>
    <w:p w14:paraId="66A2985C" w14:textId="1DDAF63D" w:rsidR="008D02A3" w:rsidRPr="004502BD" w:rsidRDefault="000C6A14" w:rsidP="004502BD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15" w:name="_Toc108610900"/>
      <w:r w:rsidRPr="004502BD">
        <w:rPr>
          <w:rFonts w:ascii="Calibri" w:eastAsia="MS Mincho" w:hAnsi="Calibri"/>
          <w:b/>
          <w:bCs/>
          <w:sz w:val="24"/>
          <w:szCs w:val="24"/>
        </w:rPr>
        <w:t>S</w:t>
      </w:r>
      <w:r w:rsidR="008D02A3" w:rsidRPr="004502BD">
        <w:rPr>
          <w:rFonts w:ascii="Calibri" w:eastAsia="MS Mincho" w:hAnsi="Calibri"/>
          <w:b/>
          <w:bCs/>
          <w:sz w:val="24"/>
          <w:szCs w:val="24"/>
        </w:rPr>
        <w:t>ystem zarządzania Uczelnią</w:t>
      </w:r>
      <w:bookmarkEnd w:id="15"/>
      <w:r w:rsidR="008D02A3" w:rsidRPr="004502BD">
        <w:rPr>
          <w:rFonts w:ascii="Calibri" w:eastAsia="MS Mincho" w:hAnsi="Calibri"/>
          <w:b/>
          <w:bCs/>
          <w:sz w:val="24"/>
          <w:szCs w:val="24"/>
        </w:rPr>
        <w:t xml:space="preserve"> </w:t>
      </w:r>
    </w:p>
    <w:p w14:paraId="733E63D3" w14:textId="598CE70E" w:rsidR="008D02A3" w:rsidRPr="004502BD" w:rsidRDefault="008D02A3" w:rsidP="004502BD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Ustawa z </w:t>
      </w:r>
      <w:r w:rsidR="009B4A5E" w:rsidRPr="004502BD">
        <w:rPr>
          <w:rFonts w:ascii="Calibri" w:eastAsia="MS Mincho" w:hAnsi="Calibri"/>
          <w:sz w:val="24"/>
          <w:szCs w:val="24"/>
        </w:rPr>
        <w:t xml:space="preserve">dnia </w:t>
      </w:r>
      <w:r w:rsidRPr="004502BD">
        <w:rPr>
          <w:rFonts w:ascii="Calibri" w:eastAsia="MS Mincho" w:hAnsi="Calibri"/>
          <w:sz w:val="24"/>
          <w:szCs w:val="24"/>
        </w:rPr>
        <w:t>20</w:t>
      </w:r>
      <w:r w:rsidR="001D3A39" w:rsidRPr="004502BD">
        <w:rPr>
          <w:rFonts w:ascii="Calibri" w:eastAsia="MS Mincho" w:hAnsi="Calibri"/>
          <w:sz w:val="24"/>
          <w:szCs w:val="24"/>
        </w:rPr>
        <w:t xml:space="preserve"> lipca </w:t>
      </w:r>
      <w:r w:rsidRPr="004502BD">
        <w:rPr>
          <w:rFonts w:ascii="Calibri" w:eastAsia="MS Mincho" w:hAnsi="Calibri"/>
          <w:sz w:val="24"/>
          <w:szCs w:val="24"/>
        </w:rPr>
        <w:t>2018 r. Prawo o szkolnictwie wyższym i nauce określa, że za kierowanie uczelnią odpowiedzialny jest Rektor</w:t>
      </w:r>
      <w:r w:rsidR="0087742F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będący organem jednoosobowym uczelni. Organami kolegialnymi są Rada Uczelni</w:t>
      </w:r>
      <w:r w:rsidR="002F798B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Senat</w:t>
      </w:r>
      <w:r w:rsidR="007765CD" w:rsidRPr="004502BD">
        <w:rPr>
          <w:rFonts w:ascii="Calibri" w:eastAsia="MS Mincho" w:hAnsi="Calibri"/>
          <w:sz w:val="24"/>
          <w:szCs w:val="24"/>
        </w:rPr>
        <w:t xml:space="preserve">, </w:t>
      </w:r>
      <w:r w:rsidR="006A436A" w:rsidRPr="004502BD">
        <w:rPr>
          <w:rFonts w:ascii="Calibri" w:eastAsia="MS Mincho" w:hAnsi="Calibri"/>
          <w:sz w:val="24"/>
          <w:szCs w:val="24"/>
        </w:rPr>
        <w:t>a</w:t>
      </w:r>
      <w:r w:rsidR="002F798B" w:rsidRPr="004502BD">
        <w:rPr>
          <w:rFonts w:ascii="Calibri" w:eastAsia="MS Mincho" w:hAnsi="Calibri"/>
          <w:sz w:val="24"/>
          <w:szCs w:val="24"/>
        </w:rPr>
        <w:t xml:space="preserve"> od </w:t>
      </w:r>
      <w:r w:rsidR="006A436A" w:rsidRPr="004502BD">
        <w:rPr>
          <w:rFonts w:ascii="Calibri" w:eastAsia="MS Mincho" w:hAnsi="Calibri"/>
          <w:sz w:val="24"/>
          <w:szCs w:val="24"/>
        </w:rPr>
        <w:t xml:space="preserve">1 czerwca 2023 r. </w:t>
      </w:r>
      <w:r w:rsidR="007765CD" w:rsidRPr="004502BD">
        <w:rPr>
          <w:rFonts w:ascii="Calibri" w:eastAsia="MS Mincho" w:hAnsi="Calibri"/>
          <w:sz w:val="24"/>
          <w:szCs w:val="24"/>
        </w:rPr>
        <w:t xml:space="preserve">również </w:t>
      </w:r>
      <w:r w:rsidR="002F798B" w:rsidRPr="004502BD">
        <w:rPr>
          <w:rFonts w:ascii="Calibri" w:eastAsia="MS Mincho" w:hAnsi="Calibri"/>
          <w:sz w:val="24"/>
          <w:szCs w:val="24"/>
        </w:rPr>
        <w:t>R</w:t>
      </w:r>
      <w:r w:rsidR="007765CD" w:rsidRPr="004502BD">
        <w:rPr>
          <w:rFonts w:ascii="Calibri" w:eastAsia="MS Mincho" w:hAnsi="Calibri"/>
          <w:sz w:val="24"/>
          <w:szCs w:val="24"/>
        </w:rPr>
        <w:t xml:space="preserve">ady </w:t>
      </w:r>
      <w:r w:rsidR="002F798B" w:rsidRPr="004502BD">
        <w:rPr>
          <w:rFonts w:ascii="Calibri" w:eastAsia="MS Mincho" w:hAnsi="Calibri"/>
          <w:sz w:val="24"/>
          <w:szCs w:val="24"/>
        </w:rPr>
        <w:t>D</w:t>
      </w:r>
      <w:r w:rsidR="007765CD" w:rsidRPr="004502BD">
        <w:rPr>
          <w:rFonts w:ascii="Calibri" w:eastAsia="MS Mincho" w:hAnsi="Calibri"/>
          <w:sz w:val="24"/>
          <w:szCs w:val="24"/>
        </w:rPr>
        <w:t>yscyplin</w:t>
      </w:r>
      <w:r w:rsidR="002F798B" w:rsidRPr="004502BD">
        <w:rPr>
          <w:rFonts w:ascii="Calibri" w:eastAsia="MS Mincho" w:hAnsi="Calibri"/>
          <w:sz w:val="24"/>
          <w:szCs w:val="24"/>
        </w:rPr>
        <w:t>.</w:t>
      </w:r>
    </w:p>
    <w:p w14:paraId="3B88805A" w14:textId="42A0DFD0" w:rsidR="008D02A3" w:rsidRPr="004502BD" w:rsidRDefault="008D02A3" w:rsidP="004502BD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Do zadań i kompetencji Rektora należą wszystkie sprawy dotyczące </w:t>
      </w:r>
      <w:r w:rsidR="006A436A" w:rsidRPr="004502BD">
        <w:rPr>
          <w:rFonts w:ascii="Calibri" w:eastAsia="MS Mincho" w:hAnsi="Calibri"/>
          <w:sz w:val="24"/>
          <w:szCs w:val="24"/>
        </w:rPr>
        <w:t xml:space="preserve">funkcjonowania </w:t>
      </w:r>
      <w:r w:rsidRPr="004502BD">
        <w:rPr>
          <w:rFonts w:ascii="Calibri" w:eastAsia="MS Mincho" w:hAnsi="Calibri"/>
          <w:sz w:val="24"/>
          <w:szCs w:val="24"/>
        </w:rPr>
        <w:t xml:space="preserve">uczelni z zachowaniem zasad obowiązującej ustawy i statutu. Rektor określa w formie zarządzenia zakres obowiązków swoich zastępców, którymi są powołani </w:t>
      </w:r>
      <w:r w:rsidR="007765CD" w:rsidRPr="004502BD">
        <w:rPr>
          <w:rFonts w:ascii="Calibri" w:eastAsia="MS Mincho" w:hAnsi="Calibri"/>
          <w:sz w:val="24"/>
          <w:szCs w:val="24"/>
        </w:rPr>
        <w:t xml:space="preserve">przez niego </w:t>
      </w:r>
      <w:r w:rsidR="009B4A5E" w:rsidRPr="004502BD">
        <w:rPr>
          <w:rFonts w:ascii="Calibri" w:eastAsia="MS Mincho" w:hAnsi="Calibri"/>
          <w:sz w:val="24"/>
          <w:szCs w:val="24"/>
        </w:rPr>
        <w:t>p</w:t>
      </w:r>
      <w:r w:rsidRPr="004502BD">
        <w:rPr>
          <w:rFonts w:ascii="Calibri" w:eastAsia="MS Mincho" w:hAnsi="Calibri"/>
          <w:sz w:val="24"/>
          <w:szCs w:val="24"/>
        </w:rPr>
        <w:t>rorektorzy oraz przekazuje im odpowiednie uprawnienia i kompetencje.</w:t>
      </w:r>
    </w:p>
    <w:p w14:paraId="63D9C2D6" w14:textId="77777777" w:rsidR="00AB1ECF" w:rsidRPr="004502BD" w:rsidRDefault="008D02A3" w:rsidP="004502BD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Rektor nadaje regulamin określający strukturę organizacyjną oraz zasady działania Uczelni. Zgodnie z regulaminem organizacyjnym nadzór nad administracją Uczelni sprawuje Rektor. Nauczyciele akademiccy oraz pracownicy niebędący nauczycielami akademickimi podlegają Rektorowi we wszystkich sprawach wynikających ze stosunku pracy (podległość służbowa). </w:t>
      </w:r>
    </w:p>
    <w:p w14:paraId="7EB0C958" w14:textId="7AF9FFDD" w:rsidR="008D02A3" w:rsidRPr="004502BD" w:rsidRDefault="008D02A3" w:rsidP="004502BD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Natomiast odpowiednio </w:t>
      </w:r>
      <w:r w:rsidR="009B4A5E" w:rsidRPr="004502BD">
        <w:rPr>
          <w:rFonts w:ascii="Calibri" w:eastAsia="MS Mincho" w:hAnsi="Calibri"/>
          <w:sz w:val="24"/>
          <w:szCs w:val="24"/>
        </w:rPr>
        <w:t>p</w:t>
      </w:r>
      <w:r w:rsidRPr="004502BD">
        <w:rPr>
          <w:rFonts w:ascii="Calibri" w:eastAsia="MS Mincho" w:hAnsi="Calibri"/>
          <w:sz w:val="24"/>
          <w:szCs w:val="24"/>
        </w:rPr>
        <w:t xml:space="preserve">rorektorom, </w:t>
      </w:r>
      <w:r w:rsidR="009B4A5E" w:rsidRPr="004502BD">
        <w:rPr>
          <w:rFonts w:ascii="Calibri" w:eastAsia="MS Mincho" w:hAnsi="Calibri"/>
          <w:sz w:val="24"/>
          <w:szCs w:val="24"/>
        </w:rPr>
        <w:t>d</w:t>
      </w:r>
      <w:r w:rsidRPr="004502BD">
        <w:rPr>
          <w:rFonts w:ascii="Calibri" w:eastAsia="MS Mincho" w:hAnsi="Calibri"/>
          <w:sz w:val="24"/>
          <w:szCs w:val="24"/>
        </w:rPr>
        <w:t xml:space="preserve">yrektorowi Szkoły Doktorskiej, </w:t>
      </w:r>
      <w:r w:rsidR="009B4A5E" w:rsidRPr="004502BD">
        <w:rPr>
          <w:rFonts w:ascii="Calibri" w:eastAsia="MS Mincho" w:hAnsi="Calibri"/>
          <w:sz w:val="24"/>
          <w:szCs w:val="24"/>
        </w:rPr>
        <w:t>d</w:t>
      </w:r>
      <w:r w:rsidRPr="004502BD">
        <w:rPr>
          <w:rFonts w:ascii="Calibri" w:eastAsia="MS Mincho" w:hAnsi="Calibri"/>
          <w:sz w:val="24"/>
          <w:szCs w:val="24"/>
        </w:rPr>
        <w:t xml:space="preserve">ziekanom, kierownikom jednostek międzywydziałowych, ogólnouczelnianych,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 xml:space="preserve">anclerzowi i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 xml:space="preserve">westorowi </w:t>
      </w:r>
      <w:r w:rsidR="009B4A5E" w:rsidRPr="004502BD">
        <w:rPr>
          <w:rFonts w:ascii="Calibri" w:eastAsia="MS Mincho" w:hAnsi="Calibri"/>
          <w:sz w:val="24"/>
          <w:szCs w:val="24"/>
        </w:rPr>
        <w:t xml:space="preserve">podlegają również </w:t>
      </w:r>
      <w:r w:rsidRPr="004502BD">
        <w:rPr>
          <w:rFonts w:ascii="Calibri" w:eastAsia="MS Mincho" w:hAnsi="Calibri"/>
          <w:sz w:val="24"/>
          <w:szCs w:val="24"/>
        </w:rPr>
        <w:t>w zakresie merytorycznego wykonywania obowiązków (podległość funkcjonalna).</w:t>
      </w:r>
    </w:p>
    <w:p w14:paraId="5F292E33" w14:textId="4AC44FB0" w:rsidR="008D02A3" w:rsidRPr="004502BD" w:rsidRDefault="008D02A3" w:rsidP="004502BD">
      <w:pPr>
        <w:spacing w:line="360" w:lineRule="auto"/>
        <w:ind w:left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Rektor, dbając o rozwój i prawidłowe zarządzanie </w:t>
      </w:r>
      <w:r w:rsidR="001D3A39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>czelnią</w:t>
      </w:r>
      <w:r w:rsidR="007C45A3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przekazuje niektóre przysługujące mu kompetencje i uprawnienia </w:t>
      </w:r>
      <w:r w:rsidR="009B4A5E" w:rsidRPr="004502BD">
        <w:rPr>
          <w:rFonts w:ascii="Calibri" w:eastAsia="MS Mincho" w:hAnsi="Calibri"/>
          <w:sz w:val="24"/>
          <w:szCs w:val="24"/>
        </w:rPr>
        <w:t>p</w:t>
      </w:r>
      <w:r w:rsidRPr="004502BD">
        <w:rPr>
          <w:rFonts w:ascii="Calibri" w:eastAsia="MS Mincho" w:hAnsi="Calibri"/>
          <w:sz w:val="24"/>
          <w:szCs w:val="24"/>
        </w:rPr>
        <w:t xml:space="preserve">rorektorom,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 xml:space="preserve">anclerzowi i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 xml:space="preserve">westorowi. Zakres obowiązków osób pełniących funkcje kierownicze: </w:t>
      </w:r>
      <w:r w:rsidR="009B4A5E" w:rsidRPr="004502BD">
        <w:rPr>
          <w:rFonts w:ascii="Calibri" w:eastAsia="MS Mincho" w:hAnsi="Calibri"/>
          <w:sz w:val="24"/>
          <w:szCs w:val="24"/>
        </w:rPr>
        <w:t>p</w:t>
      </w:r>
      <w:r w:rsidRPr="004502BD">
        <w:rPr>
          <w:rFonts w:ascii="Calibri" w:eastAsia="MS Mincho" w:hAnsi="Calibri"/>
          <w:sz w:val="24"/>
          <w:szCs w:val="24"/>
        </w:rPr>
        <w:t xml:space="preserve">rorektorów, </w:t>
      </w:r>
      <w:r w:rsidR="009B4A5E" w:rsidRPr="004502BD">
        <w:rPr>
          <w:rFonts w:ascii="Calibri" w:eastAsia="MS Mincho" w:hAnsi="Calibri"/>
          <w:sz w:val="24"/>
          <w:szCs w:val="24"/>
        </w:rPr>
        <w:t>d</w:t>
      </w:r>
      <w:r w:rsidRPr="004502BD">
        <w:rPr>
          <w:rFonts w:ascii="Calibri" w:eastAsia="MS Mincho" w:hAnsi="Calibri"/>
          <w:sz w:val="24"/>
          <w:szCs w:val="24"/>
        </w:rPr>
        <w:t xml:space="preserve">yrektora Szkoły Doktorskiej, </w:t>
      </w:r>
      <w:r w:rsidR="009B4A5E" w:rsidRPr="004502BD">
        <w:rPr>
          <w:rFonts w:ascii="Calibri" w:eastAsia="MS Mincho" w:hAnsi="Calibri"/>
          <w:sz w:val="24"/>
          <w:szCs w:val="24"/>
        </w:rPr>
        <w:t>d</w:t>
      </w:r>
      <w:r w:rsidRPr="004502BD">
        <w:rPr>
          <w:rFonts w:ascii="Calibri" w:eastAsia="MS Mincho" w:hAnsi="Calibri"/>
          <w:sz w:val="24"/>
          <w:szCs w:val="24"/>
        </w:rPr>
        <w:t>ziekanów</w:t>
      </w:r>
      <w:r w:rsidR="006A436A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 xml:space="preserve">określa </w:t>
      </w:r>
      <w:r w:rsidR="001D3A39" w:rsidRPr="004502BD">
        <w:rPr>
          <w:rFonts w:ascii="Calibri" w:eastAsia="MS Mincho" w:hAnsi="Calibri"/>
          <w:sz w:val="24"/>
          <w:szCs w:val="24"/>
        </w:rPr>
        <w:t>z</w:t>
      </w:r>
      <w:r w:rsidRPr="004502BD">
        <w:rPr>
          <w:rFonts w:ascii="Calibri" w:eastAsia="MS Mincho" w:hAnsi="Calibri"/>
          <w:sz w:val="24"/>
          <w:szCs w:val="24"/>
        </w:rPr>
        <w:t xml:space="preserve">arządzenie nr 117 Rektora ZUT z </w:t>
      </w:r>
      <w:r w:rsidR="001D3A39" w:rsidRPr="004502BD">
        <w:rPr>
          <w:rFonts w:ascii="Calibri" w:eastAsia="MS Mincho" w:hAnsi="Calibri"/>
          <w:sz w:val="24"/>
          <w:szCs w:val="24"/>
        </w:rPr>
        <w:t xml:space="preserve">dnia </w:t>
      </w:r>
      <w:r w:rsidRPr="004502BD">
        <w:rPr>
          <w:rFonts w:ascii="Calibri" w:eastAsia="MS Mincho" w:hAnsi="Calibri"/>
          <w:sz w:val="24"/>
          <w:szCs w:val="24"/>
        </w:rPr>
        <w:t>4</w:t>
      </w:r>
      <w:r w:rsidR="001D3A39" w:rsidRPr="004502BD">
        <w:rPr>
          <w:rFonts w:ascii="Calibri" w:eastAsia="MS Mincho" w:hAnsi="Calibri"/>
          <w:sz w:val="24"/>
          <w:szCs w:val="24"/>
        </w:rPr>
        <w:t xml:space="preserve"> września </w:t>
      </w:r>
      <w:r w:rsidRPr="004502BD">
        <w:rPr>
          <w:rFonts w:ascii="Calibri" w:eastAsia="MS Mincho" w:hAnsi="Calibri"/>
          <w:sz w:val="24"/>
          <w:szCs w:val="24"/>
        </w:rPr>
        <w:t>2020 r. (z</w:t>
      </w:r>
      <w:r w:rsidR="001D3A39" w:rsidRPr="004502BD">
        <w:rPr>
          <w:rFonts w:ascii="Calibri" w:eastAsia="MS Mincho" w:hAnsi="Calibri"/>
          <w:sz w:val="24"/>
          <w:szCs w:val="24"/>
        </w:rPr>
        <w:t xml:space="preserve"> pó</w:t>
      </w:r>
      <w:r w:rsidR="00A77D5D" w:rsidRPr="004502BD">
        <w:rPr>
          <w:rFonts w:ascii="Calibri" w:eastAsia="MS Mincho" w:hAnsi="Calibri"/>
          <w:sz w:val="24"/>
          <w:szCs w:val="24"/>
        </w:rPr>
        <w:t>ź</w:t>
      </w:r>
      <w:r w:rsidR="001D3A39" w:rsidRPr="004502BD">
        <w:rPr>
          <w:rFonts w:ascii="Calibri" w:eastAsia="MS Mincho" w:hAnsi="Calibri"/>
          <w:sz w:val="24"/>
          <w:szCs w:val="24"/>
        </w:rPr>
        <w:t>n.</w:t>
      </w:r>
      <w:r w:rsidRPr="004502BD">
        <w:rPr>
          <w:rFonts w:ascii="Calibri" w:eastAsia="MS Mincho" w:hAnsi="Calibri"/>
          <w:sz w:val="24"/>
          <w:szCs w:val="24"/>
        </w:rPr>
        <w:t xml:space="preserve"> zm.). </w:t>
      </w:r>
      <w:r w:rsidR="002F798B" w:rsidRPr="004502BD">
        <w:rPr>
          <w:rFonts w:ascii="Calibri" w:eastAsia="MS Mincho" w:hAnsi="Calibri"/>
          <w:sz w:val="24"/>
          <w:szCs w:val="24"/>
        </w:rPr>
        <w:t>Zakres obowiązków</w:t>
      </w:r>
      <w:r w:rsidR="00F077E1" w:rsidRPr="004502BD">
        <w:rPr>
          <w:rFonts w:ascii="Calibri" w:eastAsia="MS Mincho" w:hAnsi="Calibri"/>
          <w:sz w:val="24"/>
          <w:szCs w:val="24"/>
        </w:rPr>
        <w:t xml:space="preserve"> Przewodniczących Rad Dyscyplin określa zarządzenie nr </w:t>
      </w:r>
      <w:r w:rsidR="006A436A" w:rsidRPr="004502BD">
        <w:rPr>
          <w:rFonts w:ascii="Calibri" w:eastAsia="MS Mincho" w:hAnsi="Calibri"/>
          <w:sz w:val="24"/>
          <w:szCs w:val="24"/>
        </w:rPr>
        <w:t>64</w:t>
      </w:r>
      <w:r w:rsidR="00F077E1" w:rsidRPr="004502BD">
        <w:rPr>
          <w:rFonts w:ascii="Calibri" w:eastAsia="MS Mincho" w:hAnsi="Calibri"/>
          <w:sz w:val="24"/>
          <w:szCs w:val="24"/>
        </w:rPr>
        <w:t xml:space="preserve"> Rektora ZUT z dnia </w:t>
      </w:r>
      <w:r w:rsidR="006A436A" w:rsidRPr="004502BD">
        <w:rPr>
          <w:rFonts w:ascii="Calibri" w:eastAsia="MS Mincho" w:hAnsi="Calibri"/>
          <w:sz w:val="24"/>
          <w:szCs w:val="24"/>
        </w:rPr>
        <w:t>13 czerwca 2023</w:t>
      </w:r>
      <w:r w:rsidR="00F077E1" w:rsidRPr="004502BD">
        <w:rPr>
          <w:rFonts w:ascii="Calibri" w:eastAsia="MS Mincho" w:hAnsi="Calibri"/>
          <w:sz w:val="24"/>
          <w:szCs w:val="24"/>
        </w:rPr>
        <w:t xml:space="preserve"> r. </w:t>
      </w:r>
      <w:r w:rsidR="00A77D5D" w:rsidRPr="004502BD">
        <w:rPr>
          <w:rFonts w:ascii="Calibri" w:eastAsia="MS Mincho" w:hAnsi="Calibri"/>
          <w:sz w:val="24"/>
          <w:szCs w:val="24"/>
        </w:rPr>
        <w:t>Natomiast</w:t>
      </w:r>
      <w:r w:rsidRPr="004502BD">
        <w:rPr>
          <w:rFonts w:ascii="Calibri" w:eastAsia="MS Mincho" w:hAnsi="Calibri"/>
          <w:sz w:val="24"/>
          <w:szCs w:val="24"/>
        </w:rPr>
        <w:t xml:space="preserve"> zarządzenie nr 141 </w:t>
      </w:r>
      <w:r w:rsidR="009B4A5E" w:rsidRPr="004502BD">
        <w:rPr>
          <w:rFonts w:ascii="Calibri" w:eastAsia="MS Mincho" w:hAnsi="Calibri"/>
          <w:sz w:val="24"/>
          <w:szCs w:val="24"/>
        </w:rPr>
        <w:t xml:space="preserve">Rektora ZUT </w:t>
      </w:r>
      <w:r w:rsidRPr="004502BD">
        <w:rPr>
          <w:rFonts w:ascii="Calibri" w:eastAsia="MS Mincho" w:hAnsi="Calibri"/>
          <w:sz w:val="24"/>
          <w:szCs w:val="24"/>
        </w:rPr>
        <w:t xml:space="preserve">z </w:t>
      </w:r>
      <w:r w:rsidR="009B4A5E" w:rsidRPr="004502BD">
        <w:rPr>
          <w:rFonts w:ascii="Calibri" w:eastAsia="MS Mincho" w:hAnsi="Calibri"/>
          <w:sz w:val="24"/>
          <w:szCs w:val="24"/>
        </w:rPr>
        <w:t xml:space="preserve">dnia </w:t>
      </w:r>
      <w:r w:rsidRPr="004502BD">
        <w:rPr>
          <w:rFonts w:ascii="Calibri" w:eastAsia="MS Mincho" w:hAnsi="Calibri"/>
          <w:sz w:val="24"/>
          <w:szCs w:val="24"/>
        </w:rPr>
        <w:t>30</w:t>
      </w:r>
      <w:r w:rsidR="001D3A39" w:rsidRPr="004502BD">
        <w:rPr>
          <w:rFonts w:ascii="Calibri" w:eastAsia="MS Mincho" w:hAnsi="Calibri"/>
          <w:sz w:val="24"/>
          <w:szCs w:val="24"/>
        </w:rPr>
        <w:t xml:space="preserve"> września </w:t>
      </w:r>
      <w:r w:rsidRPr="004502BD">
        <w:rPr>
          <w:rFonts w:ascii="Calibri" w:eastAsia="MS Mincho" w:hAnsi="Calibri"/>
          <w:sz w:val="24"/>
          <w:szCs w:val="24"/>
        </w:rPr>
        <w:t>2020 r. określa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zakres spraw powierzonych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 xml:space="preserve">anclerzowi ZUT. Zapisy Statutu ZUT wskazują, że Rektor prowadzi gospodarkę finansową przy pomocy </w:t>
      </w:r>
      <w:r w:rsidR="009B4A5E" w:rsidRPr="004502BD">
        <w:rPr>
          <w:rFonts w:ascii="Calibri" w:eastAsia="MS Mincho" w:hAnsi="Calibri"/>
          <w:sz w:val="24"/>
          <w:szCs w:val="24"/>
        </w:rPr>
        <w:t>k</w:t>
      </w:r>
      <w:r w:rsidRPr="004502BD">
        <w:rPr>
          <w:rFonts w:ascii="Calibri" w:eastAsia="MS Mincho" w:hAnsi="Calibri"/>
          <w:sz w:val="24"/>
          <w:szCs w:val="24"/>
        </w:rPr>
        <w:t>westora, któremu powierza określone obowiązki z zakresu finansów.</w:t>
      </w:r>
    </w:p>
    <w:p w14:paraId="709D5662" w14:textId="548A08BD" w:rsidR="008D02A3" w:rsidRPr="004502BD" w:rsidRDefault="000C6A14" w:rsidP="004502BD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16" w:name="_Toc108610901"/>
      <w:r w:rsidRPr="004502BD">
        <w:rPr>
          <w:rFonts w:ascii="Calibri" w:eastAsia="MS Mincho" w:hAnsi="Calibri"/>
          <w:b/>
          <w:bCs/>
          <w:sz w:val="24"/>
          <w:szCs w:val="24"/>
        </w:rPr>
        <w:t>D</w:t>
      </w:r>
      <w:r w:rsidR="008D02A3" w:rsidRPr="004502BD">
        <w:rPr>
          <w:rFonts w:ascii="Calibri" w:eastAsia="MS Mincho" w:hAnsi="Calibri"/>
          <w:b/>
          <w:bCs/>
          <w:sz w:val="24"/>
          <w:szCs w:val="24"/>
        </w:rPr>
        <w:t>ane kadrowe i struktura wiekowa pracowników</w:t>
      </w:r>
      <w:bookmarkEnd w:id="16"/>
    </w:p>
    <w:p w14:paraId="5F07CEC8" w14:textId="548693F3" w:rsidR="008D02A3" w:rsidRPr="004502BD" w:rsidRDefault="000C6A14" w:rsidP="004502BD">
      <w:pPr>
        <w:numPr>
          <w:ilvl w:val="2"/>
          <w:numId w:val="6"/>
        </w:numPr>
        <w:spacing w:after="60" w:line="360" w:lineRule="auto"/>
        <w:ind w:left="794" w:hanging="284"/>
        <w:outlineLvl w:val="2"/>
        <w:rPr>
          <w:rFonts w:ascii="Calibri" w:eastAsia="MS Mincho" w:hAnsi="Calibri"/>
          <w:bCs/>
          <w:smallCaps/>
          <w:sz w:val="24"/>
          <w:szCs w:val="24"/>
        </w:rPr>
      </w:pPr>
      <w:bookmarkStart w:id="17" w:name="_Toc108610902"/>
      <w:r w:rsidRPr="004502BD">
        <w:rPr>
          <w:rFonts w:ascii="Calibri" w:eastAsia="MS Mincho" w:hAnsi="Calibri"/>
          <w:bCs/>
          <w:sz w:val="24"/>
          <w:szCs w:val="24"/>
        </w:rPr>
        <w:t>L</w:t>
      </w:r>
      <w:r w:rsidR="008D02A3" w:rsidRPr="004502BD">
        <w:rPr>
          <w:rFonts w:ascii="Calibri" w:eastAsia="MS Mincho" w:hAnsi="Calibri"/>
          <w:bCs/>
          <w:sz w:val="24"/>
          <w:szCs w:val="24"/>
        </w:rPr>
        <w:t>iczba wszystkich pracowników z podziałem na nauczycieli i niebędących nauczycielami</w:t>
      </w:r>
      <w:bookmarkEnd w:id="17"/>
    </w:p>
    <w:p w14:paraId="6168FC87" w14:textId="7701EDA9" w:rsidR="00ED41DA" w:rsidRDefault="008D02A3" w:rsidP="004502BD">
      <w:pPr>
        <w:spacing w:line="360" w:lineRule="auto"/>
        <w:ind w:left="510"/>
        <w:rPr>
          <w:rFonts w:ascii="Calibri" w:eastAsia="MS Mincho" w:hAnsi="Calibri"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Zachodniopomorski Uniwersytet Technologiczny w Szczecinie zatrudnia aktualnie </w:t>
      </w:r>
      <w:r w:rsidR="000B259A" w:rsidRPr="004502BD">
        <w:rPr>
          <w:rFonts w:ascii="Calibri" w:eastAsia="MS Mincho" w:hAnsi="Calibri"/>
          <w:sz w:val="24"/>
          <w:szCs w:val="24"/>
        </w:rPr>
        <w:t xml:space="preserve">1600 </w:t>
      </w:r>
      <w:r w:rsidRPr="004502BD">
        <w:rPr>
          <w:rFonts w:ascii="Calibri" w:eastAsia="MS Mincho" w:hAnsi="Calibri"/>
          <w:sz w:val="24"/>
          <w:szCs w:val="24"/>
        </w:rPr>
        <w:t>pracowników w dwóch podstawowych grupach pracowniczych: nauczycieli akademickich i</w:t>
      </w:r>
      <w:r w:rsidR="007C45A3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pracowników niebędących nauczycielami akademickimi (stan na </w:t>
      </w:r>
      <w:r w:rsidR="00505433" w:rsidRPr="004502BD">
        <w:rPr>
          <w:rFonts w:ascii="Calibri" w:eastAsia="MS Mincho" w:hAnsi="Calibri"/>
          <w:sz w:val="24"/>
          <w:szCs w:val="24"/>
        </w:rPr>
        <w:t>15</w:t>
      </w:r>
      <w:r w:rsidR="000B259A" w:rsidRPr="004502BD">
        <w:rPr>
          <w:rFonts w:ascii="Calibri" w:eastAsia="MS Mincho" w:hAnsi="Calibri"/>
          <w:sz w:val="24"/>
          <w:szCs w:val="24"/>
        </w:rPr>
        <w:t>.06.2023</w:t>
      </w:r>
      <w:r w:rsidRPr="004502BD">
        <w:rPr>
          <w:rFonts w:ascii="Calibri" w:eastAsia="MS Mincho" w:hAnsi="Calibri"/>
          <w:sz w:val="24"/>
          <w:szCs w:val="24"/>
        </w:rPr>
        <w:t xml:space="preserve"> r.). Grupa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nauczycieli akademickich reprezentowana jest przez </w:t>
      </w:r>
      <w:r w:rsidR="000B259A" w:rsidRPr="004502BD">
        <w:rPr>
          <w:rFonts w:ascii="Calibri" w:eastAsia="MS Mincho" w:hAnsi="Calibri"/>
          <w:sz w:val="24"/>
          <w:szCs w:val="24"/>
        </w:rPr>
        <w:t xml:space="preserve">760 </w:t>
      </w:r>
      <w:r w:rsidRPr="004502BD">
        <w:rPr>
          <w:rFonts w:ascii="Calibri" w:eastAsia="MS Mincho" w:hAnsi="Calibri"/>
          <w:sz w:val="24"/>
          <w:szCs w:val="24"/>
        </w:rPr>
        <w:t xml:space="preserve">pracowników, co stanowi </w:t>
      </w:r>
      <w:r w:rsidR="00505433" w:rsidRPr="004502BD">
        <w:rPr>
          <w:rFonts w:ascii="Calibri" w:eastAsia="MS Mincho" w:hAnsi="Calibri"/>
          <w:sz w:val="24"/>
          <w:szCs w:val="24"/>
        </w:rPr>
        <w:t>47,5</w:t>
      </w:r>
      <w:r w:rsidRPr="004502BD">
        <w:rPr>
          <w:rFonts w:ascii="Calibri" w:eastAsia="MS Mincho" w:hAnsi="Calibri"/>
          <w:sz w:val="24"/>
          <w:szCs w:val="24"/>
        </w:rPr>
        <w:t xml:space="preserve">% ogółu zatrudnionych. </w:t>
      </w:r>
    </w:p>
    <w:p w14:paraId="6A74FAC0" w14:textId="6832014E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lastRenderedPageBreak/>
        <w:t>W tej grupie najliczniej reprezentowani są pracownicy badawczo-dydaktyczni (</w:t>
      </w:r>
      <w:r w:rsidR="000B259A" w:rsidRPr="004502BD">
        <w:rPr>
          <w:rFonts w:ascii="Calibri" w:eastAsia="MS Mincho" w:hAnsi="Calibri"/>
          <w:sz w:val="24"/>
          <w:szCs w:val="24"/>
        </w:rPr>
        <w:t>79</w:t>
      </w:r>
      <w:r w:rsidR="00505433" w:rsidRPr="004502BD">
        <w:rPr>
          <w:rFonts w:ascii="Calibri" w:eastAsia="MS Mincho" w:hAnsi="Calibri"/>
          <w:sz w:val="24"/>
          <w:szCs w:val="24"/>
        </w:rPr>
        <w:t>%</w:t>
      </w:r>
      <w:r w:rsidRPr="004502BD">
        <w:rPr>
          <w:rFonts w:ascii="Calibri" w:eastAsia="MS Mincho" w:hAnsi="Calibri"/>
          <w:sz w:val="24"/>
          <w:szCs w:val="24"/>
        </w:rPr>
        <w:t>), a pozostałe grupy stanowią odpowiednio pracownicy dydaktyczni (</w:t>
      </w:r>
      <w:r w:rsidR="000B259A" w:rsidRPr="004502BD">
        <w:rPr>
          <w:rFonts w:ascii="Calibri" w:eastAsia="MS Mincho" w:hAnsi="Calibri"/>
          <w:sz w:val="24"/>
          <w:szCs w:val="24"/>
        </w:rPr>
        <w:t>19</w:t>
      </w:r>
      <w:r w:rsidR="00793B17" w:rsidRPr="004502BD">
        <w:rPr>
          <w:rFonts w:ascii="Calibri" w:eastAsia="MS Mincho" w:hAnsi="Calibri"/>
          <w:sz w:val="24"/>
          <w:szCs w:val="24"/>
        </w:rPr>
        <w:t>%</w:t>
      </w:r>
      <w:r w:rsidRPr="004502BD">
        <w:rPr>
          <w:rFonts w:ascii="Calibri" w:eastAsia="MS Mincho" w:hAnsi="Calibri"/>
          <w:sz w:val="24"/>
          <w:szCs w:val="24"/>
        </w:rPr>
        <w:t>) i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pracownicy badawczy (</w:t>
      </w:r>
      <w:r w:rsidR="000B259A" w:rsidRPr="004502BD">
        <w:rPr>
          <w:rFonts w:ascii="Calibri" w:eastAsia="MS Mincho" w:hAnsi="Calibri"/>
          <w:sz w:val="24"/>
          <w:szCs w:val="24"/>
        </w:rPr>
        <w:t>2</w:t>
      </w:r>
      <w:r w:rsidRPr="004502BD">
        <w:rPr>
          <w:rFonts w:ascii="Calibri" w:eastAsia="MS Mincho" w:hAnsi="Calibri"/>
          <w:sz w:val="24"/>
          <w:szCs w:val="24"/>
        </w:rPr>
        <w:t>%). Pracownicy niebędący nauczycielami akademickimi (</w:t>
      </w:r>
      <w:r w:rsidR="00505433" w:rsidRPr="004502BD">
        <w:rPr>
          <w:rFonts w:ascii="Calibri" w:eastAsia="MS Mincho" w:hAnsi="Calibri"/>
          <w:sz w:val="24"/>
          <w:szCs w:val="24"/>
        </w:rPr>
        <w:t>52,5</w:t>
      </w:r>
      <w:r w:rsidRPr="004502BD">
        <w:rPr>
          <w:rFonts w:ascii="Calibri" w:eastAsia="MS Mincho" w:hAnsi="Calibri"/>
          <w:sz w:val="24"/>
          <w:szCs w:val="24"/>
        </w:rPr>
        <w:t>% ogółu zatrudnionych) przyporządkowani są do 7 grup pracowniczych, z których najliczniejszą jest grupa pracowników administracyjnych (</w:t>
      </w:r>
      <w:r w:rsidR="000B259A" w:rsidRPr="004502BD">
        <w:rPr>
          <w:rFonts w:ascii="Calibri" w:eastAsia="MS Mincho" w:hAnsi="Calibri"/>
          <w:sz w:val="24"/>
          <w:szCs w:val="24"/>
        </w:rPr>
        <w:t>42</w:t>
      </w:r>
      <w:r w:rsidRPr="004502BD">
        <w:rPr>
          <w:rFonts w:ascii="Calibri" w:eastAsia="MS Mincho" w:hAnsi="Calibri"/>
          <w:sz w:val="24"/>
          <w:szCs w:val="24"/>
        </w:rPr>
        <w:t>%)</w:t>
      </w:r>
      <w:r w:rsidR="007C45A3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a najmniej liczna jest grupa działalności wydawniczej (0,</w:t>
      </w:r>
      <w:r w:rsidR="000B259A" w:rsidRPr="004502BD">
        <w:rPr>
          <w:rFonts w:ascii="Calibri" w:eastAsia="MS Mincho" w:hAnsi="Calibri"/>
          <w:sz w:val="24"/>
          <w:szCs w:val="24"/>
        </w:rPr>
        <w:t>1</w:t>
      </w:r>
      <w:r w:rsidRPr="004502BD">
        <w:rPr>
          <w:rFonts w:ascii="Calibri" w:eastAsia="MS Mincho" w:hAnsi="Calibri"/>
          <w:sz w:val="24"/>
          <w:szCs w:val="24"/>
        </w:rPr>
        <w:t xml:space="preserve">%). </w:t>
      </w:r>
    </w:p>
    <w:p w14:paraId="24C48692" w14:textId="0DD5984D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Wśród wszystkich pracowników ok. 60% zatrudnionych stanowią kobiety, głównie w</w:t>
      </w:r>
      <w:r w:rsidR="004F7F9B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grupie pracowników bibliotecznych (9</w:t>
      </w:r>
      <w:r w:rsidR="00793B17" w:rsidRPr="004502BD">
        <w:rPr>
          <w:rFonts w:ascii="Calibri" w:eastAsia="MS Mincho" w:hAnsi="Calibri"/>
          <w:sz w:val="24"/>
          <w:szCs w:val="24"/>
        </w:rPr>
        <w:t>8</w:t>
      </w:r>
      <w:r w:rsidRPr="004502BD">
        <w:rPr>
          <w:rFonts w:ascii="Calibri" w:eastAsia="MS Mincho" w:hAnsi="Calibri"/>
          <w:sz w:val="24"/>
          <w:szCs w:val="24"/>
        </w:rPr>
        <w:t>%) i administracyjnych (</w:t>
      </w:r>
      <w:r w:rsidR="00793B17" w:rsidRPr="004502BD">
        <w:rPr>
          <w:rFonts w:ascii="Calibri" w:eastAsia="MS Mincho" w:hAnsi="Calibri"/>
          <w:sz w:val="24"/>
          <w:szCs w:val="24"/>
        </w:rPr>
        <w:t>89</w:t>
      </w:r>
      <w:r w:rsidRPr="004502BD">
        <w:rPr>
          <w:rFonts w:ascii="Calibri" w:eastAsia="MS Mincho" w:hAnsi="Calibri"/>
          <w:sz w:val="24"/>
          <w:szCs w:val="24"/>
        </w:rPr>
        <w:t>%). Mężczyźni dominują w</w:t>
      </w:r>
      <w:r w:rsidR="007C45A3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grupie robotników (100%) oraz w grupie pracowników inżynieryjno-technicznych (</w:t>
      </w:r>
      <w:r w:rsidR="00793B17" w:rsidRPr="004502BD">
        <w:rPr>
          <w:rFonts w:ascii="Calibri" w:eastAsia="MS Mincho" w:hAnsi="Calibri"/>
          <w:sz w:val="24"/>
          <w:szCs w:val="24"/>
        </w:rPr>
        <w:t>67</w:t>
      </w:r>
      <w:r w:rsidRPr="004502BD">
        <w:rPr>
          <w:rFonts w:ascii="Calibri" w:eastAsia="MS Mincho" w:hAnsi="Calibri"/>
          <w:sz w:val="24"/>
          <w:szCs w:val="24"/>
        </w:rPr>
        <w:t>%). W</w:t>
      </w:r>
      <w:r w:rsidR="007C45A3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najliczniejszej grupie pracowniczej (badawczo-dydaktycznej) udział procentowy kobiet i</w:t>
      </w:r>
      <w:r w:rsidR="007C45A3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mężczyzn wynosi odpowiednio 4</w:t>
      </w:r>
      <w:r w:rsidR="00EA2439" w:rsidRPr="004502BD">
        <w:rPr>
          <w:rFonts w:ascii="Calibri" w:eastAsia="MS Mincho" w:hAnsi="Calibri"/>
          <w:sz w:val="24"/>
          <w:szCs w:val="24"/>
        </w:rPr>
        <w:t>4</w:t>
      </w:r>
      <w:r w:rsidRPr="004502BD">
        <w:rPr>
          <w:rFonts w:ascii="Calibri" w:eastAsia="MS Mincho" w:hAnsi="Calibri"/>
          <w:sz w:val="24"/>
          <w:szCs w:val="24"/>
        </w:rPr>
        <w:t>% i 5</w:t>
      </w:r>
      <w:r w:rsidR="00EA2439" w:rsidRPr="004502BD">
        <w:rPr>
          <w:rFonts w:ascii="Calibri" w:eastAsia="MS Mincho" w:hAnsi="Calibri"/>
          <w:sz w:val="24"/>
          <w:szCs w:val="24"/>
        </w:rPr>
        <w:t>6</w:t>
      </w:r>
      <w:r w:rsidRPr="004502BD">
        <w:rPr>
          <w:rFonts w:ascii="Calibri" w:eastAsia="MS Mincho" w:hAnsi="Calibri"/>
          <w:sz w:val="24"/>
          <w:szCs w:val="24"/>
        </w:rPr>
        <w:t>%. Należy podkreślić, że zróżnicowanie udziału procentowego kobiet i mężczyzn w</w:t>
      </w:r>
      <w:r w:rsidR="004F7F9B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poszczególnych grupach pracowniczych uwarunkowane jest przede wszystkim specyfiką wykonywanych zadań.</w:t>
      </w:r>
    </w:p>
    <w:p w14:paraId="226B5B51" w14:textId="5798FE6E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Struktura wiekowa pracowników jest dość zróżnicowana, biorąc pod uwagę obie podstawowe grupy pracownicze. Zauważalna jest nieznaczna przewaga starszych pracowników wśród obsługi oraz w grupie robotników. Podobną przewagę pracowników w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średnim wieku oraz starszych można zauważyć wśród nauczycieli akademickich w grupie dydaktycznej. Należy zwrócić uwagę, że </w:t>
      </w:r>
      <w:r w:rsidR="00A902F1" w:rsidRPr="004502BD">
        <w:rPr>
          <w:rFonts w:ascii="Calibri" w:eastAsia="MS Mincho" w:hAnsi="Calibri"/>
          <w:sz w:val="24"/>
          <w:szCs w:val="24"/>
        </w:rPr>
        <w:t>12,6 %</w:t>
      </w:r>
      <w:r w:rsidR="002767B8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 xml:space="preserve">zatrudnionych aktualnie pracowników </w:t>
      </w:r>
      <w:r w:rsidR="00814B1E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>czelni nabyło już uprawnienia emerytalne.</w:t>
      </w:r>
    </w:p>
    <w:p w14:paraId="0B9B08D2" w14:textId="3A9D29DA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W celu uporządkowania zasad zatrudniania nauczycieli akademickich, </w:t>
      </w:r>
      <w:r w:rsidR="00A534B6" w:rsidRPr="004502BD">
        <w:rPr>
          <w:rFonts w:ascii="Calibri" w:eastAsia="MS Mincho" w:hAnsi="Calibri"/>
          <w:sz w:val="24"/>
          <w:szCs w:val="24"/>
        </w:rPr>
        <w:t>którzy osiągnęli wiek emerytalny</w:t>
      </w:r>
      <w:r w:rsidR="007C45A3" w:rsidRPr="004502BD">
        <w:rPr>
          <w:rFonts w:ascii="Calibri" w:eastAsia="MS Mincho" w:hAnsi="Calibri"/>
          <w:sz w:val="24"/>
          <w:szCs w:val="24"/>
        </w:rPr>
        <w:t>,</w:t>
      </w:r>
      <w:r w:rsidR="00A534B6" w:rsidRPr="004502BD">
        <w:rPr>
          <w:rFonts w:ascii="Calibri" w:eastAsia="MS Mincho" w:hAnsi="Calibri"/>
          <w:sz w:val="24"/>
          <w:szCs w:val="24"/>
        </w:rPr>
        <w:t xml:space="preserve"> dopuszcza się możliwość ich zatrudnienia w wyjątkowych</w:t>
      </w:r>
      <w:r w:rsidR="00B55995" w:rsidRPr="004502BD">
        <w:rPr>
          <w:rFonts w:ascii="Calibri" w:eastAsia="MS Mincho" w:hAnsi="Calibri"/>
          <w:sz w:val="24"/>
          <w:szCs w:val="24"/>
        </w:rPr>
        <w:t xml:space="preserve"> </w:t>
      </w:r>
      <w:r w:rsidR="00A534B6" w:rsidRPr="004502BD">
        <w:rPr>
          <w:rFonts w:ascii="Calibri" w:eastAsia="MS Mincho" w:hAnsi="Calibri"/>
          <w:sz w:val="24"/>
          <w:szCs w:val="24"/>
        </w:rPr>
        <w:t xml:space="preserve">przypadkach. </w:t>
      </w:r>
    </w:p>
    <w:p w14:paraId="18809166" w14:textId="60B7A4AA" w:rsidR="00473E5F" w:rsidRPr="004502BD" w:rsidRDefault="00473E5F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Ponowne zatrudnienie nauczyciela akademickiego po przejściu</w:t>
      </w:r>
      <w:r w:rsidR="00DE6DBE" w:rsidRPr="004502BD">
        <w:rPr>
          <w:rFonts w:ascii="Calibri" w:eastAsia="MS Mincho" w:hAnsi="Calibri"/>
          <w:sz w:val="24"/>
          <w:szCs w:val="24"/>
        </w:rPr>
        <w:t xml:space="preserve"> na emeryturę lub wygaśnię</w:t>
      </w:r>
      <w:r w:rsidRPr="004502BD">
        <w:rPr>
          <w:rFonts w:ascii="Calibri" w:eastAsia="MS Mincho" w:hAnsi="Calibri"/>
          <w:sz w:val="24"/>
          <w:szCs w:val="24"/>
        </w:rPr>
        <w:t>ciu stosunku pracy</w:t>
      </w:r>
      <w:r w:rsidR="00DE6DBE" w:rsidRPr="004502BD">
        <w:rPr>
          <w:rFonts w:ascii="Calibri" w:eastAsia="MS Mincho" w:hAnsi="Calibri"/>
          <w:sz w:val="24"/>
          <w:szCs w:val="24"/>
        </w:rPr>
        <w:t xml:space="preserve"> może nastąpić w oparciu o obowiązujące przepisy dotyczące zatrudniania nauczyciela akademickiego, w wyjątkowych przypadkach:</w:t>
      </w:r>
    </w:p>
    <w:p w14:paraId="5444BE39" w14:textId="0034EBF2" w:rsidR="00DE6DBE" w:rsidRPr="004502BD" w:rsidRDefault="00CE356C" w:rsidP="004502BD">
      <w:pPr>
        <w:pStyle w:val="Akapitzlist"/>
        <w:numPr>
          <w:ilvl w:val="0"/>
          <w:numId w:val="9"/>
        </w:numPr>
        <w:spacing w:line="360" w:lineRule="auto"/>
        <w:ind w:left="794" w:hanging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wynikających z uzasadnionej potrzeby</w:t>
      </w:r>
      <w:r w:rsidR="0051491D" w:rsidRPr="004502BD">
        <w:rPr>
          <w:rFonts w:ascii="Calibri" w:eastAsia="MS Mincho" w:hAnsi="Calibri"/>
          <w:sz w:val="24"/>
          <w:szCs w:val="24"/>
        </w:rPr>
        <w:t xml:space="preserve"> naukowej lub dydaktycznej,</w:t>
      </w:r>
    </w:p>
    <w:p w14:paraId="2B102D70" w14:textId="094C62C2" w:rsidR="00CE356C" w:rsidRPr="004502BD" w:rsidRDefault="00CE356C" w:rsidP="004502BD">
      <w:pPr>
        <w:pStyle w:val="Akapitzlist"/>
        <w:numPr>
          <w:ilvl w:val="0"/>
          <w:numId w:val="9"/>
        </w:numPr>
        <w:spacing w:line="360" w:lineRule="auto"/>
        <w:ind w:left="794" w:hanging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zatrudnienia nauczyciela akademickiego, który jest ekspertem w jednym obszarów kształcenia,</w:t>
      </w:r>
    </w:p>
    <w:p w14:paraId="15C22829" w14:textId="7A8A83B9" w:rsidR="0051491D" w:rsidRPr="004502BD" w:rsidRDefault="0051491D" w:rsidP="004502BD">
      <w:pPr>
        <w:pStyle w:val="Akapitzlist"/>
        <w:numPr>
          <w:ilvl w:val="0"/>
          <w:numId w:val="9"/>
        </w:numPr>
        <w:spacing w:line="360" w:lineRule="auto"/>
        <w:ind w:left="794" w:hanging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pozyskania środków finansowych od podmiotów zewnętrznych na prowadzenie prac badawczych,</w:t>
      </w:r>
      <w:r w:rsidR="00A640B6" w:rsidRPr="004502BD">
        <w:rPr>
          <w:rFonts w:ascii="Calibri" w:eastAsia="MS Mincho" w:hAnsi="Calibri"/>
          <w:sz w:val="24"/>
          <w:szCs w:val="24"/>
        </w:rPr>
        <w:t xml:space="preserve"> </w:t>
      </w:r>
    </w:p>
    <w:p w14:paraId="2CFB7755" w14:textId="0D422A2E" w:rsidR="0051491D" w:rsidRPr="004502BD" w:rsidRDefault="0051491D" w:rsidP="004502BD">
      <w:pPr>
        <w:pStyle w:val="Akapitzlist"/>
        <w:numPr>
          <w:ilvl w:val="0"/>
          <w:numId w:val="9"/>
        </w:numPr>
        <w:spacing w:line="360" w:lineRule="auto"/>
        <w:ind w:left="794" w:hanging="284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kierowania projektem badawczym</w:t>
      </w:r>
      <w:r w:rsidR="007229A5" w:rsidRPr="004502BD">
        <w:rPr>
          <w:rFonts w:ascii="Calibri" w:eastAsia="MS Mincho" w:hAnsi="Calibri"/>
          <w:sz w:val="24"/>
          <w:szCs w:val="24"/>
        </w:rPr>
        <w:t>.</w:t>
      </w:r>
    </w:p>
    <w:p w14:paraId="244A2B8D" w14:textId="3692614C" w:rsidR="0051491D" w:rsidRPr="004502BD" w:rsidRDefault="0051491D" w:rsidP="004502BD">
      <w:pPr>
        <w:keepNext/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 przypadku konieczności zatrudnienia w grupie pracowników dydaktycznych dopuszcza się zatrudnienie w ramach umow</w:t>
      </w:r>
      <w:r w:rsidR="009C3A8B" w:rsidRPr="004502BD">
        <w:rPr>
          <w:rFonts w:ascii="Calibri" w:eastAsia="MS Mincho" w:hAnsi="Calibri"/>
          <w:sz w:val="24"/>
          <w:szCs w:val="24"/>
        </w:rPr>
        <w:t>y cywilnoprawnej (umowy</w:t>
      </w:r>
      <w:r w:rsidR="00CC6334" w:rsidRPr="004502BD">
        <w:rPr>
          <w:rFonts w:ascii="Calibri" w:eastAsia="MS Mincho" w:hAnsi="Calibri"/>
          <w:sz w:val="24"/>
          <w:szCs w:val="24"/>
        </w:rPr>
        <w:t xml:space="preserve"> </w:t>
      </w:r>
      <w:r w:rsidR="009C3A8B" w:rsidRPr="004502BD">
        <w:rPr>
          <w:rFonts w:ascii="Calibri" w:eastAsia="MS Mincho" w:hAnsi="Calibri"/>
          <w:sz w:val="24"/>
          <w:szCs w:val="24"/>
        </w:rPr>
        <w:t>zlecenia</w:t>
      </w:r>
      <w:r w:rsidRPr="004502BD">
        <w:rPr>
          <w:rFonts w:ascii="Calibri" w:eastAsia="MS Mincho" w:hAnsi="Calibri"/>
          <w:sz w:val="24"/>
          <w:szCs w:val="24"/>
        </w:rPr>
        <w:t>).</w:t>
      </w:r>
    </w:p>
    <w:p w14:paraId="304BC208" w14:textId="1063C79E" w:rsidR="00A534B6" w:rsidRPr="004502BD" w:rsidRDefault="00A534B6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 odniesieniu do pracowników niebędących nauczycielami akademickimi należy przyjąć, że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ponowne zatrudnienie po przejściu na emeryturę jest możliwe w sytuacjach wyjątkowych, wynikających z potrzeb </w:t>
      </w:r>
      <w:r w:rsidR="00A2272E" w:rsidRPr="004502BD">
        <w:rPr>
          <w:rFonts w:ascii="Calibri" w:eastAsia="MS Mincho" w:hAnsi="Calibri"/>
          <w:sz w:val="24"/>
          <w:szCs w:val="24"/>
        </w:rPr>
        <w:t>organizacyjnych,</w:t>
      </w:r>
      <w:r w:rsidR="006A436A" w:rsidRPr="004502BD">
        <w:rPr>
          <w:rFonts w:ascii="Calibri" w:eastAsia="MS Mincho" w:hAnsi="Calibri"/>
          <w:sz w:val="24"/>
          <w:szCs w:val="24"/>
        </w:rPr>
        <w:t xml:space="preserve"> ramach umowy o pracę na czas określony.</w:t>
      </w:r>
    </w:p>
    <w:p w14:paraId="14B45B4C" w14:textId="6B6A6BE6" w:rsidR="008D02A3" w:rsidRPr="004502BD" w:rsidRDefault="008D02A3" w:rsidP="004502BD">
      <w:pPr>
        <w:spacing w:after="200"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lastRenderedPageBreak/>
        <w:t xml:space="preserve">Szczegółowe dane liczbowe i </w:t>
      </w:r>
      <w:r w:rsidR="006669B3" w:rsidRPr="004502BD">
        <w:rPr>
          <w:rFonts w:ascii="Calibri" w:eastAsia="MS Mincho" w:hAnsi="Calibri"/>
          <w:sz w:val="24"/>
          <w:szCs w:val="24"/>
        </w:rPr>
        <w:t>udział</w:t>
      </w:r>
      <w:r w:rsidRPr="004502BD">
        <w:rPr>
          <w:rFonts w:ascii="Calibri" w:eastAsia="MS Mincho" w:hAnsi="Calibri"/>
          <w:sz w:val="24"/>
          <w:szCs w:val="24"/>
        </w:rPr>
        <w:t xml:space="preserve"> w poszczególnych grupach pracowniczych zawarto w</w:t>
      </w:r>
      <w:r w:rsidR="00645439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załączniku </w:t>
      </w:r>
      <w:r w:rsidR="00645439" w:rsidRPr="004502BD">
        <w:rPr>
          <w:rFonts w:ascii="Calibri" w:eastAsia="MS Mincho" w:hAnsi="Calibri"/>
          <w:sz w:val="24"/>
          <w:szCs w:val="24"/>
        </w:rPr>
        <w:t xml:space="preserve">do </w:t>
      </w:r>
      <w:r w:rsidR="00690D79" w:rsidRPr="004502BD">
        <w:rPr>
          <w:rFonts w:ascii="Calibri" w:eastAsia="MS Mincho" w:hAnsi="Calibri"/>
          <w:sz w:val="24"/>
          <w:szCs w:val="24"/>
        </w:rPr>
        <w:t>Strategii Zarządzania Zasobami Ludzkimi w ZUT na lata 202</w:t>
      </w:r>
      <w:r w:rsidR="008C5D02" w:rsidRPr="004502BD">
        <w:rPr>
          <w:rFonts w:ascii="Calibri" w:eastAsia="MS Mincho" w:hAnsi="Calibri"/>
          <w:sz w:val="24"/>
          <w:szCs w:val="24"/>
        </w:rPr>
        <w:t>3</w:t>
      </w:r>
      <w:r w:rsidR="00690D79" w:rsidRPr="004502BD">
        <w:rPr>
          <w:rFonts w:ascii="Calibri" w:eastAsia="MS Mincho" w:hAnsi="Calibri"/>
          <w:sz w:val="24"/>
          <w:szCs w:val="24"/>
        </w:rPr>
        <w:t xml:space="preserve"> – 202</w:t>
      </w:r>
      <w:r w:rsidR="008C5D02" w:rsidRPr="004502BD">
        <w:rPr>
          <w:rFonts w:ascii="Calibri" w:eastAsia="MS Mincho" w:hAnsi="Calibri"/>
          <w:sz w:val="24"/>
          <w:szCs w:val="24"/>
        </w:rPr>
        <w:t>6</w:t>
      </w:r>
      <w:r w:rsidRPr="004502BD">
        <w:rPr>
          <w:rFonts w:ascii="Calibri" w:eastAsia="MS Mincho" w:hAnsi="Calibri"/>
          <w:sz w:val="24"/>
          <w:szCs w:val="24"/>
        </w:rPr>
        <w:t>.</w:t>
      </w:r>
    </w:p>
    <w:p w14:paraId="5571FB3D" w14:textId="02FD0C88" w:rsidR="008D02A3" w:rsidRPr="004502BD" w:rsidRDefault="006669B3" w:rsidP="004502BD">
      <w:pPr>
        <w:numPr>
          <w:ilvl w:val="2"/>
          <w:numId w:val="6"/>
        </w:numPr>
        <w:spacing w:after="60" w:line="360" w:lineRule="auto"/>
        <w:ind w:left="794" w:hanging="284"/>
        <w:outlineLvl w:val="2"/>
        <w:rPr>
          <w:rFonts w:ascii="Calibri" w:eastAsia="MS Mincho" w:hAnsi="Calibri"/>
          <w:bCs/>
          <w:smallCaps/>
          <w:sz w:val="24"/>
          <w:szCs w:val="24"/>
        </w:rPr>
      </w:pPr>
      <w:bookmarkStart w:id="18" w:name="_Toc108610903"/>
      <w:r w:rsidRPr="004502BD">
        <w:rPr>
          <w:rFonts w:ascii="Calibri" w:eastAsia="MS Mincho" w:hAnsi="Calibri"/>
          <w:bCs/>
          <w:sz w:val="24"/>
          <w:szCs w:val="24"/>
        </w:rPr>
        <w:t xml:space="preserve">Udział </w:t>
      </w:r>
      <w:r w:rsidR="008D02A3" w:rsidRPr="004502BD">
        <w:rPr>
          <w:rFonts w:ascii="Calibri" w:eastAsia="MS Mincho" w:hAnsi="Calibri"/>
          <w:bCs/>
          <w:sz w:val="24"/>
          <w:szCs w:val="24"/>
        </w:rPr>
        <w:t>pracowników w dyscyplinach naukowych</w:t>
      </w:r>
      <w:bookmarkEnd w:id="18"/>
    </w:p>
    <w:p w14:paraId="10C03A44" w14:textId="6E07B0AB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Jedną z istotniejszych zmian, jaka wynika z wprowadzenia w życie Konstytucji dla Nauki</w:t>
      </w:r>
      <w:r w:rsidR="00645439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nazywanej również „Ustawą 2.0”</w:t>
      </w:r>
      <w:r w:rsidR="00645439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jest reorientacja modelu oceny działalności naukowej </w:t>
      </w:r>
      <w:r w:rsidR="00645439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>czelni z parametryzacji wydziałów na rzecz ewaluacji dyscyplin naukowych.</w:t>
      </w:r>
    </w:p>
    <w:p w14:paraId="3987F3C8" w14:textId="042BD6F6" w:rsidR="008D02A3" w:rsidRPr="004502BD" w:rsidRDefault="008D02A3" w:rsidP="004502BD">
      <w:pPr>
        <w:spacing w:line="360" w:lineRule="auto"/>
        <w:ind w:left="51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Niewątpliwie kluczowym elementem harmonijnego rozwoju uczelni zarówno pod względem naukowym, jak również dydaktycznym</w:t>
      </w:r>
      <w:r w:rsidR="00645439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jest zapewnienie właściwej struktury kadrowej we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wszystkich dyscyplinach, szczególnie w tych reprezentowanych przez dużą liczbę pracowników, z którymi związane są najpopularniejsze kierunki studiów. O przyszłości dyscyplin naukowych decyduje wynik ewaluacji jakości działalności naukowej, determinujący utrzymanie posiadanych uprawnień, ale także umożliwiający kontynuację kształcenia na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poszczególnych kierunkach na dotychczasowych zasadach (profil ogólnoakademicki).</w:t>
      </w:r>
    </w:p>
    <w:p w14:paraId="2FA01886" w14:textId="0D670CEC" w:rsidR="008D02A3" w:rsidRPr="004502BD" w:rsidRDefault="000C6A14" w:rsidP="004502BD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19" w:name="_Toc108610904"/>
      <w:r w:rsidRPr="004502BD">
        <w:rPr>
          <w:rFonts w:ascii="Calibri" w:eastAsia="MS Mincho" w:hAnsi="Calibri"/>
          <w:b/>
          <w:bCs/>
          <w:sz w:val="24"/>
          <w:szCs w:val="24"/>
        </w:rPr>
        <w:t>S</w:t>
      </w:r>
      <w:r w:rsidR="008D02A3" w:rsidRPr="004502BD">
        <w:rPr>
          <w:rFonts w:ascii="Calibri" w:eastAsia="MS Mincho" w:hAnsi="Calibri"/>
          <w:b/>
          <w:bCs/>
          <w:sz w:val="24"/>
          <w:szCs w:val="24"/>
        </w:rPr>
        <w:t>truktura organizacyjna Uczelni i wzajemne relacje między pracownikami</w:t>
      </w:r>
      <w:bookmarkEnd w:id="19"/>
    </w:p>
    <w:p w14:paraId="2BD9907E" w14:textId="21A309DC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Zasadniczo struktura organizacyjna ZUT jest już ustalona i</w:t>
      </w:r>
      <w:r w:rsidR="00645439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w</w:t>
      </w:r>
      <w:r w:rsidR="00645439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najbliższym czasie nie wymaga znaczącej korekty.</w:t>
      </w:r>
      <w:r w:rsidR="006A436A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Aktualnie Uczelnia podzielona jest na 11 podstawowych jednostek organizacyjnych, jakimi są wydziały oraz 5 jednostek międzywydziałowych. Podział ten wynika z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uwarunkowań historycznych. Z jednej strony niewątpliwie sprzyja to „utożsamianiu się” pracowników ze swoimi jednostkami, jednak może w pewnym stopniu utrudniać nawiązywanie współpracy pomiędzy pracownikami różnych jednostek zajmujących się podobnymi zagadnieniami, potencjalnie sprzyjając „izolacji” wydziałów i „wewnątrzuczelnianej konkurencji”. W</w:t>
      </w:r>
      <w:r w:rsidR="00645439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 xml:space="preserve">porównaniu z innymi </w:t>
      </w:r>
      <w:r w:rsidR="00645439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>czelniami o podobnej liczbie pracowników oraz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studentów, liczba jednostek wydaje się duża, podobnie jak liczba dyscyplin poddawanych ewaluacji. Rozdrobnienie potencjału badawczego z jednej strony może być niekorzystne, chociaż z drugiej strony intensywna współpraca i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 xml:space="preserve">tworzenie zespołów interdyscyplinarnych, może przyczynić się do lepszych wyników ewaluacji współpracujących dyscyplin. </w:t>
      </w:r>
    </w:p>
    <w:p w14:paraId="6588AA0E" w14:textId="77777777" w:rsidR="00ED41DA" w:rsidRDefault="008D02A3" w:rsidP="004502BD">
      <w:pPr>
        <w:spacing w:line="360" w:lineRule="auto"/>
        <w:ind w:left="340"/>
        <w:rPr>
          <w:rFonts w:ascii="Calibri" w:eastAsia="MS Mincho" w:hAnsi="Calibri"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Potencjalnym źródłem konfliktów związanych ze strukturą organizacyjną, mogącym wpływać negatywnie na wzajemne relacje między pracownikami</w:t>
      </w:r>
      <w:r w:rsidR="001F369E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może być „izolacja” dyscyplin naukowych, nie tylko utrudniająca współpracę pomiędzy różnymi jednostkami, ale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wzmacniająca aspekty rywalizacji. Niebezpieczeństwo takie rodzić mogłoby wzajemne uniezależnienie funkcji kierowniczych dziekanów oraz przewodniczących rad dyscyplin, co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w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efekcie mogłoby spowodować sytuację, w której pracownik miałby dwóch</w:t>
      </w:r>
      <w:r w:rsidR="001F369E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a nawet trzech (przy wskazaniu dwóch dyscyplin) równorzędnych przełożonych. </w:t>
      </w:r>
    </w:p>
    <w:p w14:paraId="5488F402" w14:textId="1DC97DB5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lastRenderedPageBreak/>
        <w:t>Taka sytuacja w sposób naturalny mogłaby stać się czynnikiem konfliktogennym, skłaniając przełożonych do swoistej „rywalizacji” o zaangażowanie pracowników w pracę dydaktyczną (istotną z punktu widzenia dziekana) oraz naukową (z</w:t>
      </w:r>
      <w:r w:rsidR="001F369E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trudnymi być może do pogodzenia interesami dwóch reprezentowanych dyscyplin). Konieczny jest nadzór i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stały monitoring, aby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tego typu konfliktom zapobiegać, uniemożliwiając ich ewentualne przenoszenie na poziom ogólnouczelniany. </w:t>
      </w:r>
    </w:p>
    <w:p w14:paraId="6D804895" w14:textId="11942DBC" w:rsidR="008D02A3" w:rsidRPr="004502BD" w:rsidRDefault="008D02A3" w:rsidP="004502BD">
      <w:pPr>
        <w:keepLines/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Wzajemne dobre relacje między pracownikami administracji, zwłaszcza efektywna współpraca pomiędzy administracją centralną a pracownikami wydziałów, uwarunkowane są jasnym i</w:t>
      </w:r>
      <w:r w:rsidR="001F369E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precyzyjnym określeniem zakresu obowiązków i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odpowiedzialności poszczególnych jednostek i działów. W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kontekście ciągłych zmian uwarunkowań zewnętrznych (w szczególności aktów prawnych regulujących funkcjonowanie uczelni) zakresy te wymagają ciągłego monitorowania i</w:t>
      </w:r>
      <w:r w:rsidR="001F369E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aktualizacji, co winno przyczynić się do wzrostu efektywności pracy administracji.</w:t>
      </w:r>
    </w:p>
    <w:p w14:paraId="6D6D6DCB" w14:textId="2D22F34A" w:rsidR="008D02A3" w:rsidRPr="004502BD" w:rsidRDefault="000C6A14" w:rsidP="004502BD">
      <w:pPr>
        <w:pStyle w:val="Akapitzlist"/>
        <w:numPr>
          <w:ilvl w:val="1"/>
          <w:numId w:val="6"/>
        </w:numPr>
        <w:spacing w:before="120" w:after="60" w:line="360" w:lineRule="auto"/>
        <w:ind w:left="623" w:hanging="283"/>
        <w:contextualSpacing w:val="0"/>
        <w:outlineLvl w:val="1"/>
        <w:rPr>
          <w:rFonts w:ascii="Calibri" w:eastAsia="MS Mincho" w:hAnsi="Calibri"/>
          <w:b/>
          <w:smallCaps/>
          <w:sz w:val="24"/>
          <w:szCs w:val="24"/>
        </w:rPr>
      </w:pPr>
      <w:bookmarkStart w:id="20" w:name="_Toc108610905"/>
      <w:r w:rsidRPr="004502BD">
        <w:rPr>
          <w:rFonts w:ascii="Calibri" w:eastAsia="MS Mincho" w:hAnsi="Calibri"/>
          <w:b/>
          <w:sz w:val="24"/>
          <w:szCs w:val="24"/>
        </w:rPr>
        <w:t>W</w:t>
      </w:r>
      <w:r w:rsidR="008D02A3" w:rsidRPr="004502BD">
        <w:rPr>
          <w:rFonts w:ascii="Calibri" w:eastAsia="MS Mincho" w:hAnsi="Calibri"/>
          <w:b/>
          <w:sz w:val="24"/>
          <w:szCs w:val="24"/>
        </w:rPr>
        <w:t>arunki pracy</w:t>
      </w:r>
      <w:bookmarkEnd w:id="20"/>
    </w:p>
    <w:p w14:paraId="1A19F3B8" w14:textId="7F4DBC28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Istotnym elementem wpływającym na zaangażowanie pracowników w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wykonywaną przez nich pracę jest dysponowanie odpowiednim warsztatem dostosowanym do zajmowanego stanowiska. W przypadku pracowników prowadzących badania naukowe lub w nich uczestniczących chodzi głównie o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dostęp do nowoczesnych laboratoriów wyposażonych w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najlepszą możliwą aparaturę naukową. Tylko takie urządzenia pozwalają na dokonywanie odkryć naukowych, których wyniki są publikowalne w</w:t>
      </w:r>
      <w:r w:rsidR="001F369E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najlepszych czasopismach naukowych. W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ostatnich latach podjęto szereg działań, wspierających wymianę wyposażenia laboratoriów i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pomieszczeń dydaktycznych. Konieczna jest jednak ich intensyfikacja, w tym wielotorowe poszukiwanie źródeł finansowych umożliwiających poszerzanie i unowocześnianie bazy laboratoryjnej.</w:t>
      </w:r>
    </w:p>
    <w:p w14:paraId="66F693AF" w14:textId="5F52B790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Jednocześnie dużym wyzwaniem jest takie sterowanie zakupami aparatury naukowej w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skali Uczelni, by nie dokonywać zakupów identycznych urządzeń</w:t>
      </w:r>
      <w:r w:rsidR="00111D76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a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posiadane wykorzystywać efektywniej. Jasno określone zasady użytkowania wspólnych dla społeczności akademickiej aparatury będą przeciwdziałać potencjalnym konfliktom personalnym. Wymagana jest również systematyczna poprawa warunków pracy, w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szczególności modernizacja pomieszczeń dydaktycznych,</w:t>
      </w:r>
      <w:r w:rsidR="004F7F9B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socjalnych i</w:t>
      </w:r>
      <w:r w:rsidR="004F7F9B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administracyjnych. Należy również zwrócić uwagę na konieczność systematycznej poprawy otoczenia budynków </w:t>
      </w:r>
      <w:r w:rsidR="00111D76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>czelni. W związku z planowanym przejściem na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elektroniczny obieg dokumentów, wskazane jest unowocześnienie zasobów sprzętowych, przede wszystkim komputerów i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jednostek służących do przechowywania danych.</w:t>
      </w:r>
    </w:p>
    <w:p w14:paraId="1C8C879A" w14:textId="089AE52E" w:rsidR="008D02A3" w:rsidRPr="004502BD" w:rsidRDefault="000C6A14" w:rsidP="00ED41DA">
      <w:pPr>
        <w:pStyle w:val="Akapitzlist"/>
        <w:keepNext/>
        <w:numPr>
          <w:ilvl w:val="1"/>
          <w:numId w:val="6"/>
        </w:numPr>
        <w:spacing w:before="120" w:after="60" w:line="360" w:lineRule="auto"/>
        <w:ind w:left="624" w:hanging="284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21" w:name="_Toc108610906"/>
      <w:r w:rsidRPr="004502BD">
        <w:rPr>
          <w:rFonts w:ascii="Calibri" w:eastAsia="MS Mincho" w:hAnsi="Calibri"/>
          <w:b/>
          <w:bCs/>
          <w:sz w:val="24"/>
          <w:szCs w:val="24"/>
        </w:rPr>
        <w:lastRenderedPageBreak/>
        <w:t>S</w:t>
      </w:r>
      <w:r w:rsidR="008D02A3" w:rsidRPr="004502BD">
        <w:rPr>
          <w:rFonts w:ascii="Calibri" w:eastAsia="MS Mincho" w:hAnsi="Calibri"/>
          <w:b/>
          <w:bCs/>
          <w:sz w:val="24"/>
          <w:szCs w:val="24"/>
        </w:rPr>
        <w:t>ystemy informatyczne i ich efektywność</w:t>
      </w:r>
      <w:bookmarkEnd w:id="21"/>
    </w:p>
    <w:p w14:paraId="2DFFB8DC" w14:textId="77E3A891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trike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Ważnym czynnikiem ułatwiającym prawidłowe wykonywanie czynności pracy jest dostęp do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zasobów informatycznych. Zauważalna jest poprawa w tym zakresie, wprowadzane są nowe moduły usprawniające zarówno realizację czynności pracy</w:t>
      </w:r>
      <w:r w:rsidR="00111D76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jak i zarządzanie pracownikami. Konieczne jest kompleksowe podejście, tak by w jednym miejscu zgromadzić wszystkie dane opisujące pracowników, ich aktywność naukową, dydaktyczną i organizacyjną. Dysponując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danymi o przebiegu zatrudnienia, awansach zawodowych, stanowiskowych i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powiązaniem tego z publikowanymi pracami, patentami, zdobywanymi grantami czy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badanami zleconymi od podmiotów zewnętrznych, uzyskamy doskonałe narzędzie do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pogłębionej analizy stanu kadrowego. Ułatwi ono podejmowanie decyzji kadrowych i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skuteczne zarządzanie pracownikami. Nie</w:t>
      </w:r>
      <w:r w:rsidR="003320DF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mniej ważne jest usprawnienie procesów obsługi dokumentacji finansowej, księgowej. Brak odpowiednich narzędzi obiegu takich dokumentów rodzi frustracje pracowników tracących czas na „zdobywanie pieczątek i podpisów”</w:t>
      </w:r>
      <w:r w:rsidR="00111D76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odrywając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ich od głównych obowiązków pracowniczych.</w:t>
      </w:r>
    </w:p>
    <w:p w14:paraId="7518F62D" w14:textId="4D478B90" w:rsidR="008D02A3" w:rsidRPr="004502BD" w:rsidRDefault="00E524F1" w:rsidP="004502BD">
      <w:pPr>
        <w:numPr>
          <w:ilvl w:val="0"/>
          <w:numId w:val="6"/>
        </w:numPr>
        <w:spacing w:before="240" w:line="360" w:lineRule="auto"/>
        <w:ind w:left="340" w:hanging="340"/>
        <w:outlineLvl w:val="0"/>
        <w:rPr>
          <w:rFonts w:ascii="Calibri" w:eastAsia="MS Mincho" w:hAnsi="Calibri"/>
          <w:b/>
          <w:smallCaps/>
          <w:sz w:val="28"/>
          <w:szCs w:val="28"/>
        </w:rPr>
      </w:pPr>
      <w:bookmarkStart w:id="22" w:name="_Toc108610907"/>
      <w:r w:rsidRPr="004502BD">
        <w:rPr>
          <w:rFonts w:ascii="Calibri" w:eastAsia="MS Mincho" w:hAnsi="Calibri"/>
          <w:b/>
          <w:sz w:val="28"/>
          <w:szCs w:val="28"/>
        </w:rPr>
        <w:t>O</w:t>
      </w:r>
      <w:r w:rsidR="008D02A3" w:rsidRPr="004502BD">
        <w:rPr>
          <w:rFonts w:ascii="Calibri" w:eastAsia="MS Mincho" w:hAnsi="Calibri"/>
          <w:b/>
          <w:sz w:val="28"/>
          <w:szCs w:val="28"/>
        </w:rPr>
        <w:t>toczeni</w:t>
      </w:r>
      <w:r w:rsidRPr="004502BD">
        <w:rPr>
          <w:rFonts w:ascii="Calibri" w:eastAsia="MS Mincho" w:hAnsi="Calibri"/>
          <w:b/>
          <w:sz w:val="28"/>
          <w:szCs w:val="28"/>
        </w:rPr>
        <w:t>e</w:t>
      </w:r>
      <w:r w:rsidR="008D02A3" w:rsidRPr="004502BD">
        <w:rPr>
          <w:rFonts w:ascii="Calibri" w:eastAsia="MS Mincho" w:hAnsi="Calibri"/>
          <w:b/>
          <w:sz w:val="28"/>
          <w:szCs w:val="28"/>
        </w:rPr>
        <w:t xml:space="preserve"> zewnętrzne Uczelni</w:t>
      </w:r>
      <w:bookmarkEnd w:id="22"/>
    </w:p>
    <w:p w14:paraId="0827EA27" w14:textId="20DFE520" w:rsidR="00E524F1" w:rsidRPr="004502BD" w:rsidRDefault="00E524F1" w:rsidP="004502BD">
      <w:pPr>
        <w:pStyle w:val="Akapitzlist"/>
        <w:numPr>
          <w:ilvl w:val="1"/>
          <w:numId w:val="6"/>
        </w:numPr>
        <w:spacing w:before="120" w:after="60" w:line="360" w:lineRule="auto"/>
        <w:outlineLvl w:val="1"/>
        <w:rPr>
          <w:rFonts w:ascii="Calibri" w:eastAsia="MS Mincho" w:hAnsi="Calibri"/>
          <w:b/>
          <w:smallCaps/>
          <w:sz w:val="24"/>
          <w:szCs w:val="24"/>
        </w:rPr>
      </w:pPr>
      <w:bookmarkStart w:id="23" w:name="_Toc108610908"/>
      <w:r w:rsidRPr="004502BD">
        <w:rPr>
          <w:rFonts w:ascii="Calibri" w:eastAsia="MS Mincho" w:hAnsi="Calibri"/>
          <w:b/>
          <w:sz w:val="24"/>
          <w:szCs w:val="24"/>
        </w:rPr>
        <w:t>Elementy otoczenia zewnętrznego</w:t>
      </w:r>
      <w:bookmarkEnd w:id="23"/>
    </w:p>
    <w:p w14:paraId="59A920AB" w14:textId="38AC0FD2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Na życie i funkcjonowanie Uczelni istotny wpływ mają czynniki otoczenia zewnętrznego, głównie systemu prawnego oraz społeczno-gospodarczego. Charakterystyka tych czynników zostanie ograniczona do najważniejszych wpływających na sytuację kadrową w ZUT.</w:t>
      </w:r>
    </w:p>
    <w:p w14:paraId="57BEBD7B" w14:textId="5356F4E7" w:rsidR="00ED41DA" w:rsidRDefault="008D02A3" w:rsidP="00ED41DA">
      <w:pPr>
        <w:spacing w:line="360" w:lineRule="auto"/>
        <w:ind w:left="340"/>
        <w:rPr>
          <w:rFonts w:ascii="Calibri" w:eastAsia="MS Mincho" w:hAnsi="Calibri"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Wejście w życie przepisów </w:t>
      </w:r>
      <w:r w:rsidR="00FB7013" w:rsidRPr="004502BD">
        <w:rPr>
          <w:rFonts w:ascii="Calibri" w:eastAsia="MS Mincho" w:hAnsi="Calibri"/>
          <w:sz w:val="24"/>
          <w:szCs w:val="24"/>
        </w:rPr>
        <w:t>u</w:t>
      </w:r>
      <w:r w:rsidRPr="004502BD">
        <w:rPr>
          <w:rFonts w:ascii="Calibri" w:eastAsia="MS Mincho" w:hAnsi="Calibri"/>
          <w:sz w:val="24"/>
          <w:szCs w:val="24"/>
        </w:rPr>
        <w:t xml:space="preserve">stawy </w:t>
      </w:r>
      <w:r w:rsidR="00307842" w:rsidRPr="004502BD">
        <w:rPr>
          <w:rFonts w:ascii="Calibri" w:eastAsia="MS Mincho" w:hAnsi="Calibri"/>
          <w:sz w:val="24"/>
          <w:szCs w:val="24"/>
        </w:rPr>
        <w:t xml:space="preserve">z dnia 20 lipca 2018 r. Prawo </w:t>
      </w:r>
      <w:r w:rsidRPr="004502BD">
        <w:rPr>
          <w:rFonts w:ascii="Calibri" w:eastAsia="MS Mincho" w:hAnsi="Calibri"/>
          <w:sz w:val="24"/>
          <w:szCs w:val="24"/>
        </w:rPr>
        <w:t>o szkolnictwie wyższym i nauce wprowadziło znaczące zmiany w funkcjonowaniu i systemie finansowania działalności Uczelni, a zakres tych zmian jest bardzo szeroki. Wprowadzony model w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pierwszej kolejności zmienił system organizacyjny Uczelni, funkcje dotychczasowych organów kolegialnych, zakres kompetencji Rektora i innych osób pełniących funkcje kierownicze. Równie istotne zmiany przyniosła nowa ustawa w funkcjonowaniu wydziałów. Przestały one być jednostkami naukowymi Uczelni, zrezygnowano z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parametryzacji wydziałów, zastępując ją ewaluacją dyscyplin naukowych. Najistotniejsza zmiana dotyka działalności naukowej, która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organizowana jest teraz w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ramach dyscyplin naukowych poddawanych ewaluacji. Wprowadzenie ich swobodnego wyboru przez pracowników, zgodne z zasadami wolności naukowej i</w:t>
      </w:r>
      <w:r w:rsidR="00111D76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słuszne ze wszech miar dla rozwoju naukowego pracowników, jest jednak pewnym problemem dla Uczelni. Wybór i powiązanie pracowników z dyscyplinami naukowymi, które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nie będą ewaluowane lub nie mają szansy na uzyskanie dobrego wyniku (co najmniej kategorii B+) może wpłynąć na gwałtowne pogorszenie się sytuacji finansowej. </w:t>
      </w:r>
    </w:p>
    <w:p w14:paraId="485737EE" w14:textId="18A8BACD" w:rsidR="008D02A3" w:rsidRPr="004502BD" w:rsidRDefault="008D02A3" w:rsidP="00ED41DA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lastRenderedPageBreak/>
        <w:t>Wynika to z</w:t>
      </w:r>
      <w:r w:rsidR="008B34EF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aktualnych przepisów wiążących wysokość subwencji w części „naukowej” z liczbą pracowników przypisanych do dyscypliny</w:t>
      </w:r>
      <w:r w:rsidR="00111D76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z uwzględnieniem jej kategorii. Pracownicy spoza dyscyplin ewaluowanych lub tych, które otrzymają w przyszłości kategorię C (w</w:t>
      </w:r>
      <w:r w:rsidR="008B34EF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mniejszym stopniu kat. B)</w:t>
      </w:r>
      <w:r w:rsidR="00111D76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nie będą uwzględniani w algorytmie podziału subwencji na działalność naukową. Zgodnie z symulacjami </w:t>
      </w:r>
      <w:r w:rsidR="000C7193" w:rsidRPr="004502BD">
        <w:rPr>
          <w:rFonts w:ascii="Calibri" w:eastAsia="MS Mincho" w:hAnsi="Calibri"/>
          <w:sz w:val="24"/>
          <w:szCs w:val="24"/>
        </w:rPr>
        <w:t>MEiN,</w:t>
      </w:r>
      <w:r w:rsidRPr="004502BD">
        <w:rPr>
          <w:rFonts w:ascii="Calibri" w:eastAsia="MS Mincho" w:hAnsi="Calibri"/>
          <w:sz w:val="24"/>
          <w:szCs w:val="24"/>
        </w:rPr>
        <w:t xml:space="preserve"> procentowy udział części naukowej jako składowej subwencji będzie wzrastał z roku na rok. Wymusza to konieczność wnikliwej analizy sytuacji i</w:t>
      </w:r>
      <w:r w:rsidR="00ED41DA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podjęcia działań jeszcze przed zakończeniem pierwszej ewaluacji dyscyplin naukowych. Pozostawienie tej sytuacji w stanie niezmienionym, jak w naczyniach połączonych, wpłynie na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wszystkich pracowników, również z tych dyscyplin, które uzyskały bardzo dobre wyniki kategoryzacji. </w:t>
      </w:r>
    </w:p>
    <w:p w14:paraId="5509904F" w14:textId="349EB525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Aktywność naukowa pracowników, szczególnie na polu zdobywania projektów badawczych realizowanych we współpracy lub na zlecenie partnerów zewnętrznych</w:t>
      </w:r>
      <w:r w:rsidR="00DB7D8A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głównie przedsiębiorstw lub instytucji, jest istotnie uzależniona od sytuacji ekonomicznej tych podmiotów. Stabilność otoczenia społeczno-gospodarczego wywiera bowiem istotny wpływ na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tworzenie konsorcjów naukowo-przemysłowych, możliwość wspólnego realizowania projektów badawczych, czy realizacji badań na zlecenie zewnętrznych organizacji. Spadek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zaangażowania przedsiębiorstw i</w:t>
      </w:r>
      <w:r w:rsidR="000C7193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innych instytucji może spowodować zmniejszenie zapotrzebowania na pracowników prowadzących prace badawcze lub w nich uczestniczących. Wskaźnik projektowy jest również jedną z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ważnych składowych oceny ewaluacyjnej dyscyplin naukowych. Konieczna jest zatem większa aktywizacja pracowników w pozyskiwaniu środków finansowych na prowadzenie badań ze źródeł zewnętrznych. W tym punkcie należy podkreślić, że niezbędne jest usprawnienie obsługi projektów szczególnie na poziomie wsparcia księgowego (szybszego księgowania, generowania pełnych i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czytelnych raportów).</w:t>
      </w:r>
    </w:p>
    <w:p w14:paraId="6AF20149" w14:textId="3D96E6BB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trike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Dodatkowo trudna do przewidzenia jest sytuacja na rynku pracy. Rynek ten w kraju i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regionie podlega silnym fluktuacjom. Przeciętne wynagrodzenie w gospodarce narodowej w drugim półroczu 202</w:t>
      </w:r>
      <w:r w:rsidR="00332E05" w:rsidRPr="004502BD">
        <w:rPr>
          <w:rFonts w:ascii="Calibri" w:eastAsia="MS Mincho" w:hAnsi="Calibri"/>
          <w:sz w:val="24"/>
          <w:szCs w:val="24"/>
        </w:rPr>
        <w:t>2</w:t>
      </w:r>
      <w:r w:rsidRPr="004502BD">
        <w:rPr>
          <w:rFonts w:ascii="Calibri" w:eastAsia="MS Mincho" w:hAnsi="Calibri"/>
          <w:sz w:val="24"/>
          <w:szCs w:val="24"/>
        </w:rPr>
        <w:t xml:space="preserve"> r. wynosiło </w:t>
      </w:r>
      <w:r w:rsidR="00332E05" w:rsidRPr="004502BD">
        <w:rPr>
          <w:rFonts w:ascii="Calibri" w:eastAsia="MS Mincho" w:hAnsi="Calibri"/>
          <w:sz w:val="24"/>
          <w:szCs w:val="24"/>
        </w:rPr>
        <w:t xml:space="preserve">5783,75 </w:t>
      </w:r>
      <w:r w:rsidRPr="004502BD">
        <w:rPr>
          <w:rFonts w:ascii="Calibri" w:eastAsia="MS Mincho" w:hAnsi="Calibri"/>
          <w:sz w:val="24"/>
          <w:szCs w:val="24"/>
        </w:rPr>
        <w:t>zł brutto (dane GUS za 202</w:t>
      </w:r>
      <w:r w:rsidR="00332E05" w:rsidRPr="004502BD">
        <w:rPr>
          <w:rFonts w:ascii="Calibri" w:eastAsia="MS Mincho" w:hAnsi="Calibri"/>
          <w:sz w:val="24"/>
          <w:szCs w:val="24"/>
        </w:rPr>
        <w:t>2</w:t>
      </w:r>
      <w:r w:rsidRPr="004502BD">
        <w:rPr>
          <w:rFonts w:ascii="Calibri" w:eastAsia="MS Mincho" w:hAnsi="Calibri"/>
          <w:sz w:val="24"/>
          <w:szCs w:val="24"/>
        </w:rPr>
        <w:t xml:space="preserve"> r.). Pozyskanie nowych pracowników do pracy naukowej, zarówno w grupie nauczycieli akademickich</w:t>
      </w:r>
      <w:r w:rsidR="00DB7D8A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jak i grupie pracowników inżynieryjno-technicznych czy dydaktycznej (np. lektorów), może być coraz trudniejsze ze względu na znaczące dysproporcje oferowanego wynagrodzenia na Uczelni i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poza nią. Szczególnie dotyczy to grupy pracowników inżynieryjno-technicznych, których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wynagrodzenie jest niższe niż przeciętne wynagrodzenie w innych działach gospodarki. Równie trudna jest sytuacja w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pozostałych grupach pracowniczych.</w:t>
      </w:r>
    </w:p>
    <w:p w14:paraId="5FF2FE21" w14:textId="4B3CF3A8" w:rsidR="00D1440E" w:rsidRPr="004502BD" w:rsidRDefault="008D02A3" w:rsidP="004502BD">
      <w:pPr>
        <w:keepLines/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lastRenderedPageBreak/>
        <w:t>Innym, istotnym czynnikiem wpływającym na sytuację kadrową Uczelni jest niż demograficzny, skutkujący zmniejszającą się liczbą rekrutowanych studentów. Wpływa to na aktualne i przyszłe zapotrzebowanie na pracowników badawczo-dydaktycznych, a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szczególnie dydaktycznych. Mając na uwadze aktualny</w:t>
      </w:r>
      <w:r w:rsidR="00DD5FE3" w:rsidRPr="004502BD">
        <w:rPr>
          <w:rFonts w:ascii="Calibri" w:eastAsia="MS Mincho" w:hAnsi="Calibri"/>
          <w:sz w:val="24"/>
          <w:szCs w:val="24"/>
        </w:rPr>
        <w:t>, relatywnie niski w stosunku do lat ubiegłych</w:t>
      </w:r>
      <w:r w:rsidRPr="004502BD">
        <w:rPr>
          <w:rFonts w:ascii="Calibri" w:eastAsia="MS Mincho" w:hAnsi="Calibri"/>
          <w:sz w:val="24"/>
          <w:szCs w:val="24"/>
        </w:rPr>
        <w:t xml:space="preserve"> wskaźnik przeliczeniowy liczby studentów przypadających na jednego pracownika i</w:t>
      </w:r>
      <w:r w:rsidR="000C7193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zmniejszającą się liczbę studentów</w:t>
      </w:r>
      <w:r w:rsidR="000C7193" w:rsidRPr="004502BD">
        <w:rPr>
          <w:rFonts w:ascii="Calibri" w:eastAsia="MS Mincho" w:hAnsi="Calibri"/>
          <w:sz w:val="24"/>
          <w:szCs w:val="24"/>
        </w:rPr>
        <w:t>,</w:t>
      </w:r>
      <w:r w:rsidRPr="004502BD">
        <w:rPr>
          <w:rFonts w:ascii="Calibri" w:eastAsia="MS Mincho" w:hAnsi="Calibri"/>
          <w:sz w:val="24"/>
          <w:szCs w:val="24"/>
        </w:rPr>
        <w:t xml:space="preserve"> konieczne staje się podjęcie kroków zmierzających do zahamowania niekorzystnego trendu spadkowego i naprawy tej sytuacji.</w:t>
      </w:r>
    </w:p>
    <w:p w14:paraId="080C3054" w14:textId="63790CF7" w:rsidR="008D02A3" w:rsidRPr="004502BD" w:rsidRDefault="008D02A3" w:rsidP="00ED41DA">
      <w:pPr>
        <w:pStyle w:val="Akapitzlist"/>
        <w:keepNext/>
        <w:numPr>
          <w:ilvl w:val="1"/>
          <w:numId w:val="6"/>
        </w:numPr>
        <w:spacing w:before="120" w:after="60" w:line="360" w:lineRule="auto"/>
        <w:contextualSpacing w:val="0"/>
        <w:outlineLvl w:val="1"/>
        <w:rPr>
          <w:rFonts w:ascii="Calibri" w:eastAsia="MS Mincho" w:hAnsi="Calibri"/>
          <w:b/>
          <w:bCs/>
          <w:smallCaps/>
          <w:sz w:val="24"/>
          <w:szCs w:val="24"/>
        </w:rPr>
      </w:pPr>
      <w:bookmarkStart w:id="24" w:name="_Toc108610909"/>
      <w:r w:rsidRPr="004502BD">
        <w:rPr>
          <w:rFonts w:ascii="Calibri" w:eastAsia="MS Mincho" w:hAnsi="Calibri"/>
          <w:b/>
          <w:bCs/>
          <w:sz w:val="24"/>
          <w:szCs w:val="24"/>
        </w:rPr>
        <w:t>Analiza przepływów kadrowych (potrzeb personalnych)</w:t>
      </w:r>
      <w:bookmarkEnd w:id="24"/>
      <w:r w:rsidRPr="004502BD">
        <w:rPr>
          <w:rFonts w:ascii="Calibri" w:eastAsia="MS Mincho" w:hAnsi="Calibri"/>
          <w:b/>
          <w:bCs/>
          <w:sz w:val="24"/>
          <w:szCs w:val="24"/>
        </w:rPr>
        <w:t xml:space="preserve"> </w:t>
      </w:r>
    </w:p>
    <w:p w14:paraId="539669D3" w14:textId="66522304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>Na potrzeby przygotowywanej Strategii ZZL oszacowano zapotrzebowanie na personel w</w:t>
      </w:r>
      <w:r w:rsidR="00BF4355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podstawowych dwóch grupach pracowniczych. Przyjęto założenie, że za 5</w:t>
      </w:r>
      <w:r w:rsidR="00BF4355" w:rsidRPr="004502BD">
        <w:rPr>
          <w:rFonts w:ascii="Calibri" w:eastAsia="MS Mincho" w:hAnsi="Calibri"/>
          <w:sz w:val="24"/>
          <w:szCs w:val="24"/>
        </w:rPr>
        <w:t xml:space="preserve"> </w:t>
      </w:r>
      <w:r w:rsidRPr="004502BD">
        <w:rPr>
          <w:rFonts w:ascii="Calibri" w:eastAsia="MS Mincho" w:hAnsi="Calibri"/>
          <w:sz w:val="24"/>
          <w:szCs w:val="24"/>
        </w:rPr>
        <w:t>lat struktura zatrudnienia pracowników (po uwzględnieniu osób przechodzących na emeryturę) powinna być zbliżona do aktualnej z ewentualną niewielką korektą (ok. 5%) wynikającą z rezygnacji z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pracy z</w:t>
      </w:r>
      <w:r w:rsidR="00BF4355" w:rsidRPr="004502BD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przyczyn innych niż przejście na emeryturę. Analiza nie uwzględnia możliwości uzyskania przez którąkolwiek z dyscyplin kategorii C. </w:t>
      </w:r>
    </w:p>
    <w:p w14:paraId="4C66B744" w14:textId="5B5FE64A" w:rsidR="008D02A3" w:rsidRPr="004502BD" w:rsidRDefault="008D02A3" w:rsidP="004502BD">
      <w:pPr>
        <w:spacing w:line="360" w:lineRule="auto"/>
        <w:ind w:left="340"/>
        <w:rPr>
          <w:rFonts w:ascii="Calibri" w:eastAsia="MS Mincho" w:hAnsi="Calibri"/>
          <w:b/>
          <w:smallCaps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W grupie nauczycieli akademickich aktualnie ustawowy wiek emerytalny osiągnęło </w:t>
      </w:r>
      <w:r w:rsidR="000A7A08" w:rsidRPr="004502BD">
        <w:rPr>
          <w:rFonts w:ascii="Calibri" w:eastAsia="MS Mincho" w:hAnsi="Calibri"/>
          <w:sz w:val="24"/>
          <w:szCs w:val="24"/>
        </w:rPr>
        <w:t xml:space="preserve">82 </w:t>
      </w:r>
      <w:r w:rsidRPr="004502BD">
        <w:rPr>
          <w:rFonts w:ascii="Calibri" w:eastAsia="MS Mincho" w:hAnsi="Calibri"/>
          <w:sz w:val="24"/>
          <w:szCs w:val="24"/>
        </w:rPr>
        <w:t>pracowników</w:t>
      </w:r>
      <w:r w:rsidR="00DB7D8A" w:rsidRPr="004502BD">
        <w:rPr>
          <w:rFonts w:ascii="Calibri" w:eastAsia="MS Mincho" w:hAnsi="Calibri"/>
          <w:sz w:val="24"/>
          <w:szCs w:val="24"/>
        </w:rPr>
        <w:t xml:space="preserve"> (</w:t>
      </w:r>
      <w:r w:rsidR="000A7A08" w:rsidRPr="004502BD">
        <w:rPr>
          <w:rFonts w:ascii="Calibri" w:eastAsia="MS Mincho" w:hAnsi="Calibri"/>
          <w:sz w:val="24"/>
          <w:szCs w:val="24"/>
        </w:rPr>
        <w:t>11</w:t>
      </w:r>
      <w:r w:rsidR="00DB7D8A" w:rsidRPr="004502BD">
        <w:rPr>
          <w:rFonts w:ascii="Calibri" w:eastAsia="MS Mincho" w:hAnsi="Calibri"/>
          <w:sz w:val="24"/>
          <w:szCs w:val="24"/>
        </w:rPr>
        <w:t>%)</w:t>
      </w:r>
      <w:r w:rsidRPr="004502BD">
        <w:rPr>
          <w:rFonts w:ascii="Calibri" w:eastAsia="MS Mincho" w:hAnsi="Calibri"/>
          <w:sz w:val="24"/>
          <w:szCs w:val="24"/>
        </w:rPr>
        <w:t xml:space="preserve">, a w roku 2025 wiek emerytalny osiągnie kolejnych </w:t>
      </w:r>
      <w:r w:rsidR="000A7A08" w:rsidRPr="004502BD">
        <w:rPr>
          <w:rFonts w:ascii="Calibri" w:eastAsia="MS Mincho" w:hAnsi="Calibri"/>
          <w:sz w:val="24"/>
          <w:szCs w:val="24"/>
        </w:rPr>
        <w:t>47</w:t>
      </w:r>
      <w:r w:rsidRPr="004502BD">
        <w:rPr>
          <w:rFonts w:ascii="Calibri" w:eastAsia="MS Mincho" w:hAnsi="Calibri"/>
          <w:sz w:val="24"/>
          <w:szCs w:val="24"/>
        </w:rPr>
        <w:t xml:space="preserve"> pracowników (</w:t>
      </w:r>
      <w:r w:rsidR="000A7A08" w:rsidRPr="004502BD">
        <w:rPr>
          <w:rFonts w:ascii="Calibri" w:eastAsia="MS Mincho" w:hAnsi="Calibri"/>
          <w:sz w:val="24"/>
          <w:szCs w:val="24"/>
        </w:rPr>
        <w:t>6</w:t>
      </w:r>
      <w:r w:rsidRPr="004502BD">
        <w:rPr>
          <w:rFonts w:ascii="Calibri" w:eastAsia="MS Mincho" w:hAnsi="Calibri"/>
          <w:sz w:val="24"/>
          <w:szCs w:val="24"/>
        </w:rPr>
        <w:t>%). Zakłada się, że konieczne będzie zatrudnienie w opisywanym okresie przynajmniej od 50 do 70 nowych pracowników. Jednocześnie nastąpią prawdopodobne przesunięcia pracowników z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>grupy badawczo-dydaktycznej do grupy dydaktycznej lub badawczej. Będą one mogły mieć wpływ na strukturę pozyskiwanych pracowników, którzy będą zatrudniani raczej na</w:t>
      </w:r>
      <w:r w:rsidR="00D60E79">
        <w:rPr>
          <w:rFonts w:ascii="Calibri" w:eastAsia="MS Mincho" w:hAnsi="Calibri"/>
          <w:sz w:val="24"/>
          <w:szCs w:val="24"/>
        </w:rPr>
        <w:t> </w:t>
      </w:r>
      <w:r w:rsidRPr="004502BD">
        <w:rPr>
          <w:rFonts w:ascii="Calibri" w:eastAsia="MS Mincho" w:hAnsi="Calibri"/>
          <w:sz w:val="24"/>
          <w:szCs w:val="24"/>
        </w:rPr>
        <w:t xml:space="preserve">stanowiskach badawczo-dydaktycznych lub dydaktycznych, rzadziej badawczych. </w:t>
      </w:r>
    </w:p>
    <w:p w14:paraId="54D68EC7" w14:textId="56F0B4AC" w:rsidR="00F045A5" w:rsidRPr="004502BD" w:rsidRDefault="008D02A3" w:rsidP="004502BD">
      <w:pPr>
        <w:spacing w:line="360" w:lineRule="auto"/>
        <w:ind w:left="340"/>
        <w:rPr>
          <w:rFonts w:ascii="Calibri" w:eastAsia="MS Mincho" w:hAnsi="Calibri"/>
          <w:sz w:val="24"/>
          <w:szCs w:val="24"/>
        </w:rPr>
      </w:pPr>
      <w:r w:rsidRPr="004502BD">
        <w:rPr>
          <w:rFonts w:ascii="Calibri" w:eastAsia="MS Mincho" w:hAnsi="Calibri"/>
          <w:sz w:val="24"/>
          <w:szCs w:val="24"/>
        </w:rPr>
        <w:t xml:space="preserve">W grupie pracowników niebędących nauczycielami akademickimi aktualnie ustawowy wiek emerytalny osiągnęło </w:t>
      </w:r>
      <w:r w:rsidR="000A7A08" w:rsidRPr="004502BD">
        <w:rPr>
          <w:rFonts w:ascii="Calibri" w:eastAsia="MS Mincho" w:hAnsi="Calibri"/>
          <w:sz w:val="24"/>
          <w:szCs w:val="24"/>
        </w:rPr>
        <w:t>110</w:t>
      </w:r>
      <w:r w:rsidRPr="004502BD">
        <w:rPr>
          <w:rFonts w:ascii="Calibri" w:eastAsia="MS Mincho" w:hAnsi="Calibri"/>
          <w:sz w:val="24"/>
          <w:szCs w:val="24"/>
        </w:rPr>
        <w:t xml:space="preserve"> pracowników, co stanowi </w:t>
      </w:r>
      <w:r w:rsidR="000A7A08" w:rsidRPr="004502BD">
        <w:rPr>
          <w:rFonts w:ascii="Calibri" w:eastAsia="MS Mincho" w:hAnsi="Calibri"/>
          <w:sz w:val="24"/>
          <w:szCs w:val="24"/>
        </w:rPr>
        <w:t>13%</w:t>
      </w:r>
      <w:r w:rsidRPr="004502BD">
        <w:rPr>
          <w:rFonts w:ascii="Calibri" w:eastAsia="MS Mincho" w:hAnsi="Calibri"/>
          <w:sz w:val="24"/>
          <w:szCs w:val="24"/>
        </w:rPr>
        <w:t xml:space="preserve"> tej grupy. W roku 2025 wiek emerytalny osiągnie kolejnych </w:t>
      </w:r>
      <w:r w:rsidR="000A7A08" w:rsidRPr="004502BD">
        <w:rPr>
          <w:rFonts w:ascii="Calibri" w:eastAsia="MS Mincho" w:hAnsi="Calibri"/>
          <w:sz w:val="24"/>
          <w:szCs w:val="24"/>
        </w:rPr>
        <w:t xml:space="preserve">94 </w:t>
      </w:r>
      <w:r w:rsidRPr="004502BD">
        <w:rPr>
          <w:rFonts w:ascii="Calibri" w:eastAsia="MS Mincho" w:hAnsi="Calibri"/>
          <w:sz w:val="24"/>
          <w:szCs w:val="24"/>
        </w:rPr>
        <w:t>pracowników (</w:t>
      </w:r>
      <w:r w:rsidR="000A7A08" w:rsidRPr="004502BD">
        <w:rPr>
          <w:rFonts w:ascii="Calibri" w:eastAsia="MS Mincho" w:hAnsi="Calibri"/>
          <w:sz w:val="24"/>
          <w:szCs w:val="24"/>
        </w:rPr>
        <w:t>11%</w:t>
      </w:r>
      <w:r w:rsidRPr="004502BD">
        <w:rPr>
          <w:rFonts w:ascii="Calibri" w:eastAsia="MS Mincho" w:hAnsi="Calibri"/>
          <w:sz w:val="24"/>
          <w:szCs w:val="24"/>
        </w:rPr>
        <w:t>).</w:t>
      </w:r>
      <w:bookmarkStart w:id="25" w:name="_Toc39574933"/>
      <w:bookmarkStart w:id="26" w:name="_Toc42278673"/>
      <w:bookmarkEnd w:id="6"/>
    </w:p>
    <w:p w14:paraId="2F140CB2" w14:textId="011B0F1E" w:rsidR="00CA53A2" w:rsidRPr="004502BD" w:rsidRDefault="008D02A3" w:rsidP="00D60E79">
      <w:pPr>
        <w:numPr>
          <w:ilvl w:val="0"/>
          <w:numId w:val="6"/>
        </w:numPr>
        <w:spacing w:before="120" w:line="360" w:lineRule="auto"/>
        <w:ind w:left="340" w:hanging="340"/>
        <w:outlineLvl w:val="0"/>
        <w:rPr>
          <w:rFonts w:ascii="Calibri" w:eastAsia="MS Mincho" w:hAnsi="Calibri"/>
          <w:b/>
          <w:bCs/>
          <w:sz w:val="28"/>
          <w:szCs w:val="28"/>
        </w:rPr>
      </w:pPr>
      <w:bookmarkStart w:id="27" w:name="_Toc108610910"/>
      <w:r w:rsidRPr="004502BD">
        <w:rPr>
          <w:rFonts w:ascii="Calibri" w:eastAsia="MS Mincho" w:hAnsi="Calibri"/>
          <w:b/>
          <w:bCs/>
          <w:sz w:val="28"/>
          <w:szCs w:val="28"/>
        </w:rPr>
        <w:t xml:space="preserve">Cele strategiczne w obszarze </w:t>
      </w:r>
      <w:bookmarkEnd w:id="25"/>
      <w:r w:rsidRPr="004502BD">
        <w:rPr>
          <w:rFonts w:ascii="Calibri" w:eastAsia="MS Mincho" w:hAnsi="Calibri"/>
          <w:b/>
          <w:bCs/>
          <w:sz w:val="28"/>
          <w:szCs w:val="28"/>
        </w:rPr>
        <w:t xml:space="preserve">Zarządzania </w:t>
      </w:r>
      <w:r w:rsidRPr="004502BD">
        <w:rPr>
          <w:rFonts w:ascii="Calibri" w:eastAsia="MS Mincho" w:hAnsi="Calibri"/>
          <w:b/>
          <w:bCs/>
          <w:sz w:val="28"/>
          <w:szCs w:val="28"/>
          <w:lang w:eastAsia="en-US"/>
        </w:rPr>
        <w:t>Zasobami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Ludzkim</w:t>
      </w:r>
      <w:bookmarkEnd w:id="26"/>
      <w:r w:rsidRPr="004502BD">
        <w:rPr>
          <w:rFonts w:ascii="Calibri" w:eastAsia="MS Mincho" w:hAnsi="Calibri"/>
          <w:b/>
          <w:bCs/>
          <w:sz w:val="28"/>
          <w:szCs w:val="28"/>
        </w:rPr>
        <w:t>i</w:t>
      </w:r>
      <w:bookmarkStart w:id="28" w:name="_Toc39574934"/>
      <w:bookmarkStart w:id="29" w:name="_Toc42278674"/>
      <w:bookmarkEnd w:id="27"/>
      <w:r w:rsidR="00644316" w:rsidRPr="004502BD">
        <w:rPr>
          <w:rFonts w:ascii="Calibri" w:eastAsia="MS Mincho" w:hAnsi="Calibri"/>
          <w:b/>
          <w:bCs/>
          <w:sz w:val="28"/>
          <w:szCs w:val="28"/>
        </w:rPr>
        <w:t>. Plan działania</w:t>
      </w:r>
    </w:p>
    <w:p w14:paraId="2696EC4C" w14:textId="04E23D38" w:rsidR="00246F66" w:rsidRPr="004502BD" w:rsidRDefault="00260E15" w:rsidP="00D60E79">
      <w:pPr>
        <w:spacing w:line="360" w:lineRule="auto"/>
        <w:rPr>
          <w:rFonts w:ascii="Calibri" w:eastAsia="MS Mincho" w:hAnsi="Calibri"/>
          <w:bCs/>
        </w:rPr>
      </w:pPr>
      <w:r w:rsidRPr="004502BD">
        <w:rPr>
          <w:rFonts w:ascii="Calibri" w:eastAsia="MS Mincho" w:hAnsi="Calibri"/>
          <w:bCs/>
          <w:u w:val="single"/>
        </w:rPr>
        <w:t>Legenda</w:t>
      </w:r>
      <w:r w:rsidR="00995625" w:rsidRPr="004502BD">
        <w:rPr>
          <w:rFonts w:ascii="Calibri" w:eastAsia="MS Mincho" w:hAnsi="Calibri"/>
          <w:bCs/>
          <w:u w:val="single"/>
        </w:rPr>
        <w:t xml:space="preserve"> do tabel</w:t>
      </w:r>
      <w:r w:rsidR="00995625" w:rsidRPr="004502BD">
        <w:rPr>
          <w:rFonts w:ascii="Calibri" w:eastAsia="MS Mincho" w:hAnsi="Calibri"/>
          <w:bCs/>
        </w:rPr>
        <w:t xml:space="preserve"> </w:t>
      </w:r>
    </w:p>
    <w:p w14:paraId="36E4F471" w14:textId="0B736F11" w:rsidR="00246F66" w:rsidRPr="004502BD" w:rsidRDefault="00995625" w:rsidP="004502BD">
      <w:pPr>
        <w:spacing w:line="360" w:lineRule="auto"/>
        <w:rPr>
          <w:rFonts w:ascii="Calibri" w:eastAsia="MS Mincho" w:hAnsi="Calibri"/>
          <w:bCs/>
        </w:rPr>
      </w:pPr>
      <w:r w:rsidRPr="004502BD">
        <w:rPr>
          <w:rFonts w:ascii="Calibri" w:eastAsia="MS Mincho" w:hAnsi="Calibri"/>
          <w:bCs/>
        </w:rPr>
        <w:t>5.1</w:t>
      </w:r>
      <w:r w:rsidR="00246F66" w:rsidRPr="004502BD">
        <w:rPr>
          <w:rFonts w:ascii="Calibri" w:eastAsia="MS Mincho" w:hAnsi="Calibri"/>
          <w:bCs/>
        </w:rPr>
        <w:t xml:space="preserve"> Obszar strategiczny O1 – Pozyskiwanie pracowników</w:t>
      </w:r>
    </w:p>
    <w:p w14:paraId="08770D41" w14:textId="40D751A3" w:rsidR="00246F66" w:rsidRPr="004502BD" w:rsidRDefault="00995625" w:rsidP="004502BD">
      <w:pPr>
        <w:spacing w:line="360" w:lineRule="auto"/>
        <w:rPr>
          <w:rFonts w:ascii="Calibri" w:eastAsia="MS Mincho" w:hAnsi="Calibri"/>
          <w:bCs/>
        </w:rPr>
      </w:pPr>
      <w:r w:rsidRPr="004502BD">
        <w:rPr>
          <w:rFonts w:ascii="Calibri" w:eastAsia="MS Mincho" w:hAnsi="Calibri"/>
          <w:bCs/>
        </w:rPr>
        <w:t xml:space="preserve">5.2 </w:t>
      </w:r>
      <w:r w:rsidR="00246F66" w:rsidRPr="004502BD">
        <w:rPr>
          <w:rFonts w:ascii="Calibri" w:eastAsia="MS Mincho" w:hAnsi="Calibri"/>
          <w:bCs/>
        </w:rPr>
        <w:t>Obszar strategiczny O2 – Kształtowanie i rozwój personalny</w:t>
      </w:r>
    </w:p>
    <w:p w14:paraId="50CBEF79" w14:textId="5BB6E515" w:rsidR="00260E15" w:rsidRPr="004502BD" w:rsidRDefault="00995625" w:rsidP="004502BD">
      <w:pPr>
        <w:spacing w:line="360" w:lineRule="auto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Cs/>
        </w:rPr>
        <w:t>5.3</w:t>
      </w:r>
      <w:r w:rsidR="00246F66" w:rsidRPr="004502BD">
        <w:rPr>
          <w:rFonts w:ascii="Calibri" w:eastAsia="MS Mincho" w:hAnsi="Calibri"/>
          <w:bCs/>
        </w:rPr>
        <w:t xml:space="preserve"> Obszar strategiczny O3 – Systemy wynagradzania i motywowania</w:t>
      </w:r>
    </w:p>
    <w:p w14:paraId="1C596962" w14:textId="638B326F" w:rsidR="00260E15" w:rsidRPr="004502BD" w:rsidRDefault="00260E15" w:rsidP="004502BD">
      <w:pPr>
        <w:spacing w:before="60" w:line="360" w:lineRule="auto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/>
        </w:rPr>
        <w:t>O1 – O3</w:t>
      </w:r>
      <w:r w:rsidRPr="004502BD">
        <w:rPr>
          <w:rFonts w:ascii="Calibri" w:eastAsia="MS Mincho" w:hAnsi="Calibri"/>
          <w:bCs/>
        </w:rPr>
        <w:t xml:space="preserve"> – obszary strategiczne od 1 do 3</w:t>
      </w:r>
    </w:p>
    <w:p w14:paraId="2A101EF7" w14:textId="3DBD25A1" w:rsidR="008527FB" w:rsidRPr="004502BD" w:rsidRDefault="008527FB" w:rsidP="004502BD">
      <w:pPr>
        <w:spacing w:line="360" w:lineRule="auto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/>
        </w:rPr>
        <w:t>CS_01 – CS_07</w:t>
      </w:r>
      <w:r w:rsidRPr="004502BD">
        <w:rPr>
          <w:rFonts w:ascii="Calibri" w:eastAsia="MS Mincho" w:hAnsi="Calibri"/>
          <w:bCs/>
        </w:rPr>
        <w:t xml:space="preserve"> – cele strategiczne</w:t>
      </w:r>
      <w:r w:rsidR="00260E15" w:rsidRPr="004502BD">
        <w:rPr>
          <w:rFonts w:ascii="Calibri" w:eastAsia="MS Mincho" w:hAnsi="Calibri"/>
          <w:bCs/>
        </w:rPr>
        <w:t xml:space="preserve"> od 1 do 7</w:t>
      </w:r>
    </w:p>
    <w:p w14:paraId="764E1D1F" w14:textId="73AD7D02" w:rsidR="00C27E3E" w:rsidRPr="004502BD" w:rsidRDefault="00796AD7" w:rsidP="004502BD">
      <w:pPr>
        <w:spacing w:line="360" w:lineRule="auto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/>
        </w:rPr>
        <w:t>CS_01(1)</w:t>
      </w:r>
      <w:r w:rsidRPr="004502BD">
        <w:rPr>
          <w:rFonts w:ascii="Calibri" w:eastAsia="MS Mincho" w:hAnsi="Calibri"/>
          <w:bCs/>
        </w:rPr>
        <w:t xml:space="preserve"> – działanie numer </w:t>
      </w:r>
      <w:r w:rsidR="00E535B2" w:rsidRPr="004502BD">
        <w:rPr>
          <w:rFonts w:ascii="Calibri" w:eastAsia="MS Mincho" w:hAnsi="Calibri"/>
          <w:bCs/>
        </w:rPr>
        <w:t xml:space="preserve">1 w ramach </w:t>
      </w:r>
      <w:r w:rsidR="00B873D7" w:rsidRPr="004502BD">
        <w:rPr>
          <w:rFonts w:ascii="Calibri" w:eastAsia="MS Mincho" w:hAnsi="Calibri"/>
          <w:bCs/>
        </w:rPr>
        <w:t>celu strategicznego numer 1</w:t>
      </w:r>
    </w:p>
    <w:p w14:paraId="11DBF3A9" w14:textId="654907CD" w:rsidR="00B873D7" w:rsidRPr="004502BD" w:rsidRDefault="00B873D7" w:rsidP="004502BD">
      <w:pPr>
        <w:spacing w:line="360" w:lineRule="auto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/>
        </w:rPr>
        <w:t>CS_01(1).WSK1</w:t>
      </w:r>
      <w:r w:rsidRPr="004502BD">
        <w:rPr>
          <w:rFonts w:ascii="Calibri" w:eastAsia="MS Mincho" w:hAnsi="Calibri"/>
          <w:bCs/>
        </w:rPr>
        <w:t xml:space="preserve"> – wskaźnik numer 1, zdefiniowany dla działania numer 1 </w:t>
      </w:r>
      <w:r w:rsidR="00182DF2" w:rsidRPr="004502BD">
        <w:rPr>
          <w:rFonts w:ascii="Calibri" w:eastAsia="MS Mincho" w:hAnsi="Calibri"/>
          <w:bCs/>
        </w:rPr>
        <w:t xml:space="preserve">w ramach </w:t>
      </w:r>
      <w:r w:rsidR="00260E15" w:rsidRPr="004502BD">
        <w:rPr>
          <w:rFonts w:ascii="Calibri" w:eastAsia="MS Mincho" w:hAnsi="Calibri"/>
          <w:bCs/>
        </w:rPr>
        <w:t xml:space="preserve">przyjętego </w:t>
      </w:r>
      <w:r w:rsidR="00182DF2" w:rsidRPr="004502BD">
        <w:rPr>
          <w:rFonts w:ascii="Calibri" w:eastAsia="MS Mincho" w:hAnsi="Calibri"/>
          <w:bCs/>
        </w:rPr>
        <w:t>celu strategicznego numer 1</w:t>
      </w:r>
    </w:p>
    <w:p w14:paraId="6F9C0DD4" w14:textId="66AC6AA0" w:rsidR="00182DF2" w:rsidRPr="004502BD" w:rsidRDefault="00182DF2" w:rsidP="004502BD">
      <w:pPr>
        <w:spacing w:line="360" w:lineRule="auto"/>
        <w:ind w:right="-170"/>
        <w:rPr>
          <w:rFonts w:ascii="Calibri" w:eastAsia="MS Mincho" w:hAnsi="Calibri"/>
          <w:b/>
          <w:bCs/>
        </w:rPr>
      </w:pPr>
      <w:r w:rsidRPr="004502BD">
        <w:rPr>
          <w:rFonts w:ascii="Calibri" w:eastAsia="MS Mincho" w:hAnsi="Calibri"/>
          <w:b/>
        </w:rPr>
        <w:t>CS_xx(yy).WSKzz</w:t>
      </w:r>
      <w:r w:rsidRPr="004502BD">
        <w:rPr>
          <w:rFonts w:ascii="Calibri" w:eastAsia="MS Mincho" w:hAnsi="Calibri"/>
          <w:bCs/>
        </w:rPr>
        <w:t xml:space="preserve"> – wskaźnik numer zz, zdefiniowany</w:t>
      </w:r>
      <w:r w:rsidRPr="00246F66">
        <w:rPr>
          <w:rFonts w:eastAsia="MS Mincho"/>
          <w:bCs/>
          <w:spacing w:val="-6"/>
        </w:rPr>
        <w:t xml:space="preserve"> </w:t>
      </w:r>
      <w:r w:rsidRPr="004502BD">
        <w:rPr>
          <w:rFonts w:ascii="Calibri" w:eastAsia="MS Mincho" w:hAnsi="Calibri"/>
          <w:bCs/>
        </w:rPr>
        <w:t>dla działania numer yy w ramach przyjętego celu strategicznego numer xx</w:t>
      </w:r>
    </w:p>
    <w:p w14:paraId="7059FB7F" w14:textId="6977D547" w:rsidR="008D02A3" w:rsidRPr="004502BD" w:rsidRDefault="008D02A3" w:rsidP="004502BD">
      <w:pPr>
        <w:pStyle w:val="Akapitzlist"/>
        <w:pageBreakBefore/>
        <w:numPr>
          <w:ilvl w:val="1"/>
          <w:numId w:val="6"/>
        </w:numPr>
        <w:tabs>
          <w:tab w:val="left" w:pos="567"/>
        </w:tabs>
        <w:spacing w:before="120" w:after="120" w:line="360" w:lineRule="auto"/>
        <w:ind w:left="624" w:hanging="284"/>
        <w:contextualSpacing w:val="0"/>
        <w:jc w:val="both"/>
        <w:outlineLvl w:val="1"/>
        <w:rPr>
          <w:rFonts w:ascii="Calibri" w:eastAsia="MS Mincho" w:hAnsi="Calibri"/>
          <w:b/>
          <w:bCs/>
          <w:sz w:val="28"/>
          <w:szCs w:val="28"/>
        </w:rPr>
      </w:pPr>
      <w:bookmarkStart w:id="30" w:name="_Toc108610911"/>
      <w:r w:rsidRPr="004502BD">
        <w:rPr>
          <w:rFonts w:ascii="Calibri" w:eastAsia="MS Mincho" w:hAnsi="Calibri"/>
          <w:b/>
          <w:bCs/>
          <w:sz w:val="28"/>
          <w:szCs w:val="28"/>
        </w:rPr>
        <w:lastRenderedPageBreak/>
        <w:t>Obszar</w:t>
      </w:r>
      <w:r w:rsidR="003C4F11"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C27040" w:rsidRPr="004502BD">
        <w:rPr>
          <w:rFonts w:ascii="Calibri" w:eastAsia="MS Mincho" w:hAnsi="Calibri"/>
          <w:b/>
          <w:bCs/>
          <w:sz w:val="28"/>
          <w:szCs w:val="28"/>
        </w:rPr>
        <w:t xml:space="preserve">strategiczny </w:t>
      </w:r>
      <w:r w:rsidR="003C4F11" w:rsidRPr="004502BD">
        <w:rPr>
          <w:rFonts w:ascii="Calibri" w:eastAsia="MS Mincho" w:hAnsi="Calibri"/>
          <w:b/>
          <w:bCs/>
          <w:sz w:val="28"/>
          <w:szCs w:val="28"/>
        </w:rPr>
        <w:t>O1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690D79" w:rsidRPr="004502BD">
        <w:rPr>
          <w:rFonts w:ascii="Calibri" w:eastAsia="MS Mincho" w:hAnsi="Calibri"/>
          <w:b/>
          <w:bCs/>
          <w:sz w:val="28"/>
          <w:szCs w:val="28"/>
        </w:rPr>
        <w:t>–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Pr="004502BD">
        <w:rPr>
          <w:rFonts w:ascii="Calibri" w:eastAsia="MS Mincho" w:hAnsi="Calibri"/>
          <w:b/>
          <w:bCs/>
          <w:sz w:val="28"/>
          <w:szCs w:val="28"/>
          <w:lang w:eastAsia="en-US"/>
        </w:rPr>
        <w:t>Pozyskiwanie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pracowników</w:t>
      </w:r>
      <w:bookmarkEnd w:id="28"/>
      <w:bookmarkEnd w:id="29"/>
      <w:bookmarkEnd w:id="30"/>
    </w:p>
    <w:p w14:paraId="64B9C2CF" w14:textId="286E7008" w:rsidR="004502BD" w:rsidRPr="004502BD" w:rsidRDefault="004502BD" w:rsidP="004502BD">
      <w:pPr>
        <w:tabs>
          <w:tab w:val="left" w:pos="1929"/>
        </w:tabs>
        <w:spacing w:line="360" w:lineRule="auto"/>
        <w:ind w:left="1417" w:hanging="1355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CS_01 – Wzmocnienie zasobów kadrowych poprzez zatrudnianie najlepszych merytorycznie kandydatów, posiadających potencjał do dokonywania znaczących odkryć naukowych oraz</w:t>
      </w:r>
      <w:r w:rsidR="00D60E79">
        <w:rPr>
          <w:rFonts w:ascii="Calibri" w:eastAsia="MS Mincho" w:hAnsi="Calibri"/>
          <w:iCs/>
          <w:lang w:eastAsia="en-US"/>
        </w:rPr>
        <w:t> </w:t>
      </w:r>
      <w:r w:rsidRPr="004502BD">
        <w:rPr>
          <w:rFonts w:ascii="Calibri" w:eastAsia="MS Mincho" w:hAnsi="Calibri"/>
          <w:iCs/>
          <w:lang w:eastAsia="en-US"/>
        </w:rPr>
        <w:t>umiejących stworzyć i kierować zespołami badawczymi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473D76" w:rsidRPr="004502BD" w14:paraId="7729E004" w14:textId="77777777" w:rsidTr="004502BD">
        <w:trPr>
          <w:trHeight w:val="397"/>
          <w:tblHeader/>
          <w:jc w:val="center"/>
        </w:trPr>
        <w:tc>
          <w:tcPr>
            <w:tcW w:w="3426" w:type="dxa"/>
            <w:vAlign w:val="center"/>
          </w:tcPr>
          <w:p w14:paraId="54921FE8" w14:textId="7777777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04DEECAA" w14:textId="7777777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502BD" w14:paraId="5F0200B3" w14:textId="77777777" w:rsidTr="004502BD">
        <w:trPr>
          <w:jc w:val="center"/>
        </w:trPr>
        <w:tc>
          <w:tcPr>
            <w:tcW w:w="3426" w:type="dxa"/>
            <w:vAlign w:val="center"/>
          </w:tcPr>
          <w:p w14:paraId="1C83E461" w14:textId="5ABCD0B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CS_01(1) Zatrudnianie pracowników badawczo-dydaktycznych i badawczych posiadających znaczący dorobek i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ugruntowaną pozycję naukową</w:t>
            </w:r>
          </w:p>
        </w:tc>
        <w:tc>
          <w:tcPr>
            <w:tcW w:w="5521" w:type="dxa"/>
          </w:tcPr>
          <w:p w14:paraId="522E8A2A" w14:textId="5520F0A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CS_01(1).WSK1 – Liczba nauczycieli akademickich, wspierających ewaluowane w ZUT dyscypliny naukowe</w:t>
            </w:r>
          </w:p>
          <w:p w14:paraId="5E774692" w14:textId="3C885490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CS_01(1).WSK2 – Liczba nauczycieli akademickich, wspierających realizację głównego celu strategicznego Uczelni</w:t>
            </w:r>
          </w:p>
          <w:p w14:paraId="0ADD1883" w14:textId="665E5E7F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CS_01(1).WSK3 – Liczba pracowników zatrudnionych w projektach badawczych finansowanych ze źródeł zewnętrznych</w:t>
            </w:r>
          </w:p>
        </w:tc>
      </w:tr>
      <w:tr w:rsidR="00473D76" w:rsidRPr="004502BD" w14:paraId="3C40137A" w14:textId="77777777" w:rsidTr="004502BD">
        <w:trPr>
          <w:jc w:val="center"/>
        </w:trPr>
        <w:tc>
          <w:tcPr>
            <w:tcW w:w="3426" w:type="dxa"/>
            <w:vAlign w:val="center"/>
          </w:tcPr>
          <w:p w14:paraId="6AE1CC2F" w14:textId="482D3CAC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CS_01(2) Zatrudnianie młodych pracowników nauki o wysokim potencjale i zorientowanych na realizację ścieżki kariery w działalności naukowej</w:t>
            </w:r>
          </w:p>
        </w:tc>
        <w:tc>
          <w:tcPr>
            <w:tcW w:w="5521" w:type="dxa"/>
          </w:tcPr>
          <w:p w14:paraId="6695A7D4" w14:textId="3B6F3B8A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CS_01(2).WSK1 – Liczba młodych pracowników nauki realizujących własne projekty badawcze</w:t>
            </w:r>
          </w:p>
          <w:p w14:paraId="165463EF" w14:textId="354BEB22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CS_01(2).WSK2 – Liczba młodych pracowników nauki biorących udział w prowadzonych w Uczelni projektach badawczych</w:t>
            </w:r>
          </w:p>
          <w:p w14:paraId="73631C42" w14:textId="3E8A7B3A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CS_01(2).WSK3 – Liczba młodych pracowników nauki w stosunku do ogólnej liczby pracowników w ewaluowanych w Uczelni dyscyplinach naukowych</w:t>
            </w:r>
          </w:p>
        </w:tc>
      </w:tr>
    </w:tbl>
    <w:p w14:paraId="4487FD95" w14:textId="29D326A7" w:rsidR="004502BD" w:rsidRPr="004502BD" w:rsidRDefault="004502BD" w:rsidP="004502BD">
      <w:pPr>
        <w:tabs>
          <w:tab w:val="left" w:pos="1929"/>
        </w:tabs>
        <w:spacing w:line="360" w:lineRule="auto"/>
        <w:ind w:left="1560" w:hanging="1418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CS_02 – Zbudowanie modelowego systemu zatrudniania pracowników niebędących nauczycielami akademickimi w celu pozyskania z rynku pracy najlepszych specjalistów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473D76" w:rsidRPr="004502BD" w14:paraId="0C4FA9B4" w14:textId="77777777" w:rsidTr="004502BD">
        <w:trPr>
          <w:trHeight w:val="397"/>
          <w:tblHeader/>
          <w:jc w:val="center"/>
        </w:trPr>
        <w:tc>
          <w:tcPr>
            <w:tcW w:w="3426" w:type="dxa"/>
            <w:vAlign w:val="center"/>
          </w:tcPr>
          <w:p w14:paraId="703FD370" w14:textId="7777777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5B9F60C1" w14:textId="77777777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502BD" w14:paraId="0D5FAF51" w14:textId="77777777" w:rsidTr="004502BD">
        <w:trPr>
          <w:jc w:val="center"/>
        </w:trPr>
        <w:tc>
          <w:tcPr>
            <w:tcW w:w="3426" w:type="dxa"/>
          </w:tcPr>
          <w:p w14:paraId="013800C6" w14:textId="0E1D7972" w:rsidR="00473D76" w:rsidRPr="004502BD" w:rsidRDefault="00473D76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CS_02(1) Oszacowanie zapotrzebowania Uczelni na specjalistów do grupy pracowników niebędących nauczycielami akademickimi, w tym pracowników o wysokich kwalifikacjach, przydatnych szczególnie w działach wspierających projekty międzynarodowe (EU i inne)</w:t>
            </w:r>
          </w:p>
        </w:tc>
        <w:tc>
          <w:tcPr>
            <w:tcW w:w="5521" w:type="dxa"/>
          </w:tcPr>
          <w:p w14:paraId="79D86012" w14:textId="02F77D51" w:rsidR="00B2052D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CS_02(1).WSK1 – Liczba pracowników NNA posiadających kwalifikacje niezbędne do wspierania realizacji projektów krajowych i międzynarodowych</w:t>
            </w:r>
          </w:p>
          <w:p w14:paraId="5C824A0D" w14:textId="48BF8483" w:rsidR="00473D76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CS_02(2).WSK2 – Liczba pracowników NNA niezbędna do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efektywnej realizacji projektów krajowych i międzynarodowych</w:t>
            </w:r>
          </w:p>
        </w:tc>
      </w:tr>
      <w:tr w:rsidR="00473D76" w:rsidRPr="004502BD" w14:paraId="032C8FB7" w14:textId="77777777" w:rsidTr="004502BD">
        <w:trPr>
          <w:jc w:val="center"/>
        </w:trPr>
        <w:tc>
          <w:tcPr>
            <w:tcW w:w="3426" w:type="dxa"/>
          </w:tcPr>
          <w:p w14:paraId="2AD56628" w14:textId="6FA4BC60" w:rsidR="00473D76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CS_02(2) Optymalizacja zatrudnienia poprzez stały monitoring niedoborów lub przerostów zatrudnienia w grupie pracowników niebędących nauczycielami</w:t>
            </w:r>
          </w:p>
        </w:tc>
        <w:tc>
          <w:tcPr>
            <w:tcW w:w="5521" w:type="dxa"/>
          </w:tcPr>
          <w:p w14:paraId="60BCF101" w14:textId="449D3C0D" w:rsidR="00B2052D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CS_02(2).WSK1 – Liczba obszarów monitorowania niedoborów i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przerostów zatrudnienia</w:t>
            </w:r>
          </w:p>
          <w:p w14:paraId="57BCDB0E" w14:textId="4B768E8D" w:rsidR="00473D76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CS_02(2).WSK2 – Liczba narzędzi informatycznych wpierających monitorowanie niedoborów i przerostów zatrudnienia</w:t>
            </w:r>
          </w:p>
        </w:tc>
      </w:tr>
      <w:tr w:rsidR="00473D76" w:rsidRPr="004502BD" w14:paraId="3023FBD1" w14:textId="77777777" w:rsidTr="004502BD">
        <w:trPr>
          <w:jc w:val="center"/>
        </w:trPr>
        <w:tc>
          <w:tcPr>
            <w:tcW w:w="3426" w:type="dxa"/>
          </w:tcPr>
          <w:p w14:paraId="17CB8762" w14:textId="5D43D3E8" w:rsidR="00473D76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CS_02(3) Przygotowanie i wdrożenie systemowego rozwiązania w zakresie wzmacniania zasobu kadrowego w grupie pracowników niebędących nauczycielami akademickimi</w:t>
            </w:r>
          </w:p>
        </w:tc>
        <w:tc>
          <w:tcPr>
            <w:tcW w:w="5521" w:type="dxa"/>
          </w:tcPr>
          <w:p w14:paraId="3CD5DC74" w14:textId="0AA76E3E" w:rsidR="00B2052D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CS_02(3).WSK1 – Liczba obszarów interwencji w zakresie wzmacniania zasobu kadrowego</w:t>
            </w:r>
          </w:p>
          <w:p w14:paraId="76157485" w14:textId="737712D9" w:rsidR="00473D76" w:rsidRPr="004502BD" w:rsidRDefault="00B2052D" w:rsidP="004502BD">
            <w:pPr>
              <w:spacing w:line="360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CS_02(3).WSK2 – Liczba narzędzi służących wzmacnianiu zasobu kadrowego w grupie pracowników niebędących nauczycielami akademickimi</w:t>
            </w:r>
          </w:p>
        </w:tc>
      </w:tr>
    </w:tbl>
    <w:p w14:paraId="78FDA34E" w14:textId="24EA1EC8" w:rsidR="004502BD" w:rsidRPr="004502BD" w:rsidRDefault="004502BD" w:rsidP="00D60E79">
      <w:pPr>
        <w:keepNext/>
        <w:tabs>
          <w:tab w:val="left" w:pos="1929"/>
        </w:tabs>
        <w:spacing w:line="312" w:lineRule="auto"/>
        <w:ind w:left="1417" w:hanging="1355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lastRenderedPageBreak/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CS_03 – Wprowadzenie systemowych rozwiązań wdrażania stanowiskowego nowo zatrudnionych pracowników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B2052D" w:rsidRPr="004502BD" w14:paraId="6974441B" w14:textId="77777777" w:rsidTr="00D60E79">
        <w:trPr>
          <w:trHeight w:val="397"/>
          <w:tblHeader/>
          <w:jc w:val="center"/>
        </w:trPr>
        <w:tc>
          <w:tcPr>
            <w:tcW w:w="3426" w:type="dxa"/>
            <w:vAlign w:val="center"/>
          </w:tcPr>
          <w:p w14:paraId="189D726E" w14:textId="77777777" w:rsidR="00B2052D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6B3B9FF4" w14:textId="77777777" w:rsidR="00B2052D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502BD" w14:paraId="0DA592EA" w14:textId="77777777" w:rsidTr="004502BD">
        <w:trPr>
          <w:jc w:val="center"/>
        </w:trPr>
        <w:tc>
          <w:tcPr>
            <w:tcW w:w="3426" w:type="dxa"/>
            <w:vAlign w:val="center"/>
          </w:tcPr>
          <w:p w14:paraId="6F80512C" w14:textId="03B41E16" w:rsidR="00473D76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CS_03(1) Przygotowanie systemowych rozwiązań wdrażania stanowiskowego pracowników przyjmowanych do pracy, tak by szybko i efektywnie zapoznali się ze specyfiką stanowiska pracy, a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w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szczególności z systemami informatycznymi</w:t>
            </w:r>
          </w:p>
        </w:tc>
        <w:tc>
          <w:tcPr>
            <w:tcW w:w="5521" w:type="dxa"/>
          </w:tcPr>
          <w:p w14:paraId="7C64F2D3" w14:textId="65C57D39" w:rsidR="00B2052D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CS_03(1).WSK1 – Liczba systemów/modułów informatycznych Uczelni, wymagających od nowych pracowników systemowego wdrożenia</w:t>
            </w:r>
          </w:p>
          <w:p w14:paraId="47C47466" w14:textId="6461D7E2" w:rsidR="00B2052D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CS_03(1).WSK2 – Liczba przeprowadzonych w Uczelni systemowych szkoleń onboardingowych</w:t>
            </w:r>
          </w:p>
          <w:p w14:paraId="28B6F36E" w14:textId="56B24EAF" w:rsidR="00473D76" w:rsidRPr="004502BD" w:rsidRDefault="00B205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CS_03(1).WSK3 – Liczba narzędzi informatycznych, stanowiących standardowe wyposażenie każdego nowego pracownika</w:t>
            </w:r>
          </w:p>
        </w:tc>
      </w:tr>
    </w:tbl>
    <w:p w14:paraId="75714DD8" w14:textId="121B355B" w:rsidR="008D02A3" w:rsidRPr="004502BD" w:rsidRDefault="008D02A3" w:rsidP="00D60E79">
      <w:pPr>
        <w:pStyle w:val="Akapitzlist"/>
        <w:keepNext/>
        <w:numPr>
          <w:ilvl w:val="1"/>
          <w:numId w:val="6"/>
        </w:numPr>
        <w:spacing w:before="120" w:after="120" w:line="312" w:lineRule="auto"/>
        <w:ind w:left="624" w:hanging="284"/>
        <w:contextualSpacing w:val="0"/>
        <w:outlineLvl w:val="1"/>
        <w:rPr>
          <w:rFonts w:ascii="Calibri" w:eastAsia="MS Mincho" w:hAnsi="Calibri"/>
          <w:b/>
          <w:bCs/>
          <w:sz w:val="28"/>
          <w:szCs w:val="28"/>
        </w:rPr>
      </w:pPr>
      <w:bookmarkStart w:id="31" w:name="_Toc108610915"/>
      <w:r w:rsidRPr="004502BD">
        <w:rPr>
          <w:rFonts w:ascii="Calibri" w:eastAsia="MS Mincho" w:hAnsi="Calibri"/>
          <w:b/>
          <w:bCs/>
          <w:sz w:val="28"/>
          <w:szCs w:val="28"/>
        </w:rPr>
        <w:t>Obszar</w:t>
      </w:r>
      <w:r w:rsidR="003C4F11"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C27040" w:rsidRPr="004502BD">
        <w:rPr>
          <w:rFonts w:ascii="Calibri" w:eastAsia="MS Mincho" w:hAnsi="Calibri"/>
          <w:b/>
          <w:bCs/>
          <w:sz w:val="28"/>
          <w:szCs w:val="28"/>
        </w:rPr>
        <w:t xml:space="preserve">strategiczny </w:t>
      </w:r>
      <w:r w:rsidR="003C4F11" w:rsidRPr="004502BD">
        <w:rPr>
          <w:rFonts w:ascii="Calibri" w:eastAsia="MS Mincho" w:hAnsi="Calibri"/>
          <w:b/>
          <w:bCs/>
          <w:sz w:val="28"/>
          <w:szCs w:val="28"/>
        </w:rPr>
        <w:t>O2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CA53A2" w:rsidRPr="004502BD">
        <w:rPr>
          <w:rFonts w:ascii="Calibri" w:eastAsia="MS Mincho" w:hAnsi="Calibri"/>
          <w:b/>
          <w:bCs/>
          <w:sz w:val="28"/>
          <w:szCs w:val="28"/>
        </w:rPr>
        <w:t>–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Kształtowanie i rozwój personalny</w:t>
      </w:r>
      <w:bookmarkEnd w:id="31"/>
    </w:p>
    <w:p w14:paraId="5AA5AB3D" w14:textId="7534B61F" w:rsidR="00A92F40" w:rsidRPr="004502BD" w:rsidRDefault="00A92F40" w:rsidP="00D60E79">
      <w:pPr>
        <w:tabs>
          <w:tab w:val="left" w:pos="1929"/>
        </w:tabs>
        <w:spacing w:line="312" w:lineRule="auto"/>
        <w:ind w:left="62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CS_04 – Modyfikacja systemu oceny okresowej pracowników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473D76" w:rsidRPr="004502BD" w14:paraId="7F6219A2" w14:textId="77777777" w:rsidTr="00A92F40">
        <w:trPr>
          <w:trHeight w:val="397"/>
          <w:tblHeader/>
          <w:jc w:val="center"/>
        </w:trPr>
        <w:tc>
          <w:tcPr>
            <w:tcW w:w="3426" w:type="dxa"/>
            <w:vAlign w:val="center"/>
          </w:tcPr>
          <w:p w14:paraId="724F16CC" w14:textId="77777777" w:rsidR="00473D76" w:rsidRPr="004502BD" w:rsidRDefault="00473D76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5F2A934F" w14:textId="77777777" w:rsidR="00473D76" w:rsidRPr="004502BD" w:rsidRDefault="00473D76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502BD" w14:paraId="3E4F7370" w14:textId="77777777" w:rsidTr="004502BD">
        <w:trPr>
          <w:jc w:val="center"/>
        </w:trPr>
        <w:tc>
          <w:tcPr>
            <w:tcW w:w="3426" w:type="dxa"/>
          </w:tcPr>
          <w:p w14:paraId="717E572E" w14:textId="29677A04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CS_04(1) Wprowadzenie zmian w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systemie oceny okresowej nauczycieli akademickich polegające na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zobowiązaniu pracownika do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równomiernego wypełnienia publikacjami udziału w ewaluowanych dyscyplinach naukowych (w przypadku wykazania dwóch dyscyplin)</w:t>
            </w:r>
          </w:p>
        </w:tc>
        <w:tc>
          <w:tcPr>
            <w:tcW w:w="5521" w:type="dxa"/>
          </w:tcPr>
          <w:p w14:paraId="562CB46A" w14:textId="14A57197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CS_04(1).WSK1 – Liczba efektów działalności naukowej zdefiniowana w ramach systemu oceny okresowej nauczycieli akademickich</w:t>
            </w:r>
          </w:p>
          <w:p w14:paraId="53494E58" w14:textId="58EDF2FC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CS_04(1).WSK2 – Liczba osób, wypełniających wymaganie równomiernego wypełnienia publikacjami udziału w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ewaluowanych dyscyplinach naukowych</w:t>
            </w:r>
          </w:p>
        </w:tc>
      </w:tr>
      <w:tr w:rsidR="00473D76" w:rsidRPr="004502BD" w14:paraId="1C4AE7C5" w14:textId="77777777" w:rsidTr="00D60E79">
        <w:trPr>
          <w:jc w:val="center"/>
        </w:trPr>
        <w:tc>
          <w:tcPr>
            <w:tcW w:w="3426" w:type="dxa"/>
          </w:tcPr>
          <w:p w14:paraId="090C77FE" w14:textId="4BC920AB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CS_04(2) Stopniowe zwiększenie wymagań związanych z działalnością naukową, skorelowane z systemem motywacyjnym przyznawania nagród Rektora oraz dodatków za ponadprzeciętną działalność naukową</w:t>
            </w:r>
          </w:p>
        </w:tc>
        <w:tc>
          <w:tcPr>
            <w:tcW w:w="5521" w:type="dxa"/>
          </w:tcPr>
          <w:p w14:paraId="435428F0" w14:textId="7EBA5B1C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CS_04(2).WSK1 – Liczba zdefiniowanych powiązań pomiędzy efektami działalności naukowej a stosowanymi w Uczelni narzędziami systemu motywacyjnego;</w:t>
            </w:r>
          </w:p>
          <w:p w14:paraId="0EB347DF" w14:textId="5CA6DC64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CS_04(2).WSK2 – Liczba wdrożonych narzędzi motywacyjnych skorelowanych z uprzednio zdefiniowanymi powiązaniami;</w:t>
            </w:r>
          </w:p>
          <w:p w14:paraId="3E63F8C1" w14:textId="0CA5C581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CS_04(2).WSK3 – Liczba efektów działalności naukowej, wymagających podniesienia wartości minimalnych w związku z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korelacją z systemem motywacyjnym</w:t>
            </w:r>
          </w:p>
        </w:tc>
      </w:tr>
    </w:tbl>
    <w:p w14:paraId="1D7DD374" w14:textId="0B4898E8" w:rsidR="00A92F40" w:rsidRPr="004502BD" w:rsidRDefault="00A92F40" w:rsidP="00D60E79">
      <w:pPr>
        <w:tabs>
          <w:tab w:val="left" w:pos="1929"/>
        </w:tabs>
        <w:spacing w:line="312" w:lineRule="auto"/>
        <w:ind w:left="62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CS_05 – Wprowadzenie systemu szkoleniowego podnoszącego kompetencje kadry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5340DE" w:rsidRPr="004502BD" w14:paraId="37C1E7DA" w14:textId="77777777" w:rsidTr="00A92F40">
        <w:trPr>
          <w:trHeight w:val="397"/>
          <w:tblHeader/>
          <w:jc w:val="center"/>
        </w:trPr>
        <w:tc>
          <w:tcPr>
            <w:tcW w:w="3426" w:type="dxa"/>
            <w:vAlign w:val="center"/>
          </w:tcPr>
          <w:p w14:paraId="2D1CE2F6" w14:textId="77777777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483BC358" w14:textId="77777777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502BD" w14:paraId="71333BED" w14:textId="77777777" w:rsidTr="004502BD">
        <w:trPr>
          <w:jc w:val="center"/>
        </w:trPr>
        <w:tc>
          <w:tcPr>
            <w:tcW w:w="3426" w:type="dxa"/>
          </w:tcPr>
          <w:p w14:paraId="00AA3A60" w14:textId="04543B76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CS_05(1) Stworzenie systemu szkoleń pracowników prowadzących lub</w:t>
            </w:r>
            <w:r w:rsidR="00D60E79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uczestniczących w pracach badawczych, w tym staży w wiodących krajowych i zagranicznych ośrodkach naukowych</w:t>
            </w:r>
          </w:p>
        </w:tc>
        <w:tc>
          <w:tcPr>
            <w:tcW w:w="5521" w:type="dxa"/>
          </w:tcPr>
          <w:p w14:paraId="4324CB2C" w14:textId="7994C930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CS_05(1).WSK1 – Liczba szkoleń oferowanych pracownikom prowadzącym lub uczestniczącym w realizacji prac badawczych</w:t>
            </w:r>
          </w:p>
          <w:p w14:paraId="7593352B" w14:textId="5BF72867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CS_05(1).WSK2 – Liczba staży w wiodących krajowych ośrodkach naukowych</w:t>
            </w:r>
          </w:p>
          <w:p w14:paraId="1D8E2522" w14:textId="2B6B98D3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CS_05(1).WSK3 – Liczba staży w wiodących zagranicznych ośrodkach naukowych</w:t>
            </w:r>
          </w:p>
        </w:tc>
      </w:tr>
      <w:tr w:rsidR="00473D76" w:rsidRPr="004502BD" w14:paraId="1E153776" w14:textId="77777777" w:rsidTr="00D60E79">
        <w:trPr>
          <w:cantSplit/>
          <w:jc w:val="center"/>
        </w:trPr>
        <w:tc>
          <w:tcPr>
            <w:tcW w:w="3426" w:type="dxa"/>
          </w:tcPr>
          <w:p w14:paraId="558EEFBD" w14:textId="07D2A34D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CS_05(2) Wprowadzenie systemu szkoleń z zakresu dydaktyki, zarówno dla nowych jak i doświadczonych nauczycieli akademickich</w:t>
            </w:r>
          </w:p>
        </w:tc>
        <w:tc>
          <w:tcPr>
            <w:tcW w:w="5521" w:type="dxa"/>
          </w:tcPr>
          <w:p w14:paraId="24812375" w14:textId="5762449C" w:rsidR="005340DE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CS_05(2).WSK1 – Liczba szkoleń z zakresu dydaktyki, skierowanych do nowych nauczycieli akademickich</w:t>
            </w:r>
          </w:p>
          <w:p w14:paraId="679018D3" w14:textId="0939FEAC" w:rsidR="00473D76" w:rsidRPr="004502BD" w:rsidRDefault="005340D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CS_05(2).WSK2 – Liczba szkoleń z zakresu dydaktyki, skierowanych do doświadczonych nauczycieli akademickich</w:t>
            </w:r>
          </w:p>
        </w:tc>
      </w:tr>
      <w:tr w:rsidR="005340DE" w:rsidRPr="004502BD" w14:paraId="1906335B" w14:textId="77777777" w:rsidTr="004502BD">
        <w:trPr>
          <w:jc w:val="center"/>
        </w:trPr>
        <w:tc>
          <w:tcPr>
            <w:tcW w:w="3426" w:type="dxa"/>
            <w:vAlign w:val="center"/>
          </w:tcPr>
          <w:p w14:paraId="7F7F3561" w14:textId="257F435A" w:rsidR="005340DE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CS_05(3) Wprowadzenie obowiązkowych, specjalistycznych szkoleń dla pracowników niebędących nauczycielami akademickimi</w:t>
            </w:r>
          </w:p>
        </w:tc>
        <w:tc>
          <w:tcPr>
            <w:tcW w:w="5521" w:type="dxa"/>
          </w:tcPr>
          <w:p w14:paraId="53E7DEBA" w14:textId="09A8F54D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CS_05(3).WSK1 – Liczba szkoleń oferowanych pracownikom niebędącym nauczycielami akademickimi</w:t>
            </w:r>
          </w:p>
          <w:p w14:paraId="4E2FC0D9" w14:textId="015866E8" w:rsidR="005340DE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CS_05(3).WSK2 – Liczba szkoleń obowiązkowych dedykowanych dla pracowników niebędących nauczycielami akademickimi</w:t>
            </w:r>
          </w:p>
        </w:tc>
      </w:tr>
    </w:tbl>
    <w:p w14:paraId="7D3A2E87" w14:textId="2DBE0674" w:rsidR="004502BD" w:rsidRPr="004502BD" w:rsidRDefault="004502BD" w:rsidP="00D60E79">
      <w:pPr>
        <w:keepNext/>
        <w:tabs>
          <w:tab w:val="left" w:pos="1929"/>
        </w:tabs>
        <w:spacing w:line="312" w:lineRule="auto"/>
        <w:ind w:left="62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lastRenderedPageBreak/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CS_06 – Stworzenie odpowiednich warunków dla rozwoju zawodowego pracowników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6"/>
        <w:gridCol w:w="5521"/>
      </w:tblGrid>
      <w:tr w:rsidR="00A5232D" w:rsidRPr="004502BD" w14:paraId="46AB32B8" w14:textId="77777777" w:rsidTr="004502BD">
        <w:trPr>
          <w:trHeight w:val="397"/>
          <w:jc w:val="center"/>
        </w:trPr>
        <w:tc>
          <w:tcPr>
            <w:tcW w:w="3426" w:type="dxa"/>
            <w:vAlign w:val="center"/>
          </w:tcPr>
          <w:p w14:paraId="7EAB75E2" w14:textId="77777777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12D669F2" w14:textId="77777777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5340DE" w:rsidRPr="004502BD" w14:paraId="014CACED" w14:textId="77777777" w:rsidTr="004502BD">
        <w:trPr>
          <w:jc w:val="center"/>
        </w:trPr>
        <w:tc>
          <w:tcPr>
            <w:tcW w:w="3426" w:type="dxa"/>
          </w:tcPr>
          <w:p w14:paraId="1DECDA77" w14:textId="49E4E0D2" w:rsidR="005340DE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CS_06(1) Unowocześnienie warsztatu pracy poprzez wyposażenie w aparaturę badawczą, modernizację laboratoriów, pomieszczeń dydaktycznych, socjalnych i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administracyjnych</w:t>
            </w:r>
          </w:p>
        </w:tc>
        <w:tc>
          <w:tcPr>
            <w:tcW w:w="5521" w:type="dxa"/>
          </w:tcPr>
          <w:p w14:paraId="1C6E802F" w14:textId="102DD5DF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CS_06(1).WSK1 – Liczba nowo utworzonych lub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zmodernizowanych laboratoriów dydaktycznych</w:t>
            </w:r>
          </w:p>
          <w:p w14:paraId="5638516E" w14:textId="0210DE5B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CS_06(1).WSK2 – Liczba nowo utworzonych lub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zmodernizowanych laboratoriów badawczych</w:t>
            </w:r>
          </w:p>
          <w:p w14:paraId="4998D84E" w14:textId="003C5AEC" w:rsidR="00A5232D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CS_06(1).WSK3 – Liczba nowo utworzonych lub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zmodernizowanych pomieszczeń socjalnych</w:t>
            </w:r>
          </w:p>
          <w:p w14:paraId="2285C7BF" w14:textId="693C77B6" w:rsidR="005340DE" w:rsidRPr="004502BD" w:rsidRDefault="00A5232D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CS_06(1).WSK4 – Liczba nowo utworzonych lub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zmodernizowanych biur, zajmowanych przez pracowników administracji</w:t>
            </w:r>
          </w:p>
        </w:tc>
      </w:tr>
      <w:tr w:rsidR="005340DE" w:rsidRPr="004502BD" w14:paraId="6D14A1F5" w14:textId="77777777" w:rsidTr="004502BD">
        <w:trPr>
          <w:jc w:val="center"/>
        </w:trPr>
        <w:tc>
          <w:tcPr>
            <w:tcW w:w="3426" w:type="dxa"/>
          </w:tcPr>
          <w:p w14:paraId="4812FD36" w14:textId="1F247073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CS_06(2) Wdrożenie zintegrowanego systemu informatycznego zbierającego wszystkie dane dotyczące pracownika jako narzędzie do sprawnego zarządzania kadrami</w:t>
            </w:r>
          </w:p>
        </w:tc>
        <w:tc>
          <w:tcPr>
            <w:tcW w:w="5521" w:type="dxa"/>
          </w:tcPr>
          <w:p w14:paraId="6233DFCB" w14:textId="57AE818E" w:rsidR="00C0441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CS_06(2).WSK1 – Liczba wdrożonych w Uczelni narzędzi informatycznych służących do gromadzenia i analizy danych</w:t>
            </w:r>
          </w:p>
          <w:p w14:paraId="1B88E061" w14:textId="68555A6E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CS_06(2).WSK2 – Liczba wdrożonych w Uczelni narzędzi informatycznych wspomagających decyzje związane z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zarządzaniem kadrami</w:t>
            </w:r>
          </w:p>
        </w:tc>
      </w:tr>
      <w:tr w:rsidR="005340DE" w:rsidRPr="004502BD" w14:paraId="37B6315E" w14:textId="77777777" w:rsidTr="004502BD">
        <w:trPr>
          <w:jc w:val="center"/>
        </w:trPr>
        <w:tc>
          <w:tcPr>
            <w:tcW w:w="3426" w:type="dxa"/>
          </w:tcPr>
          <w:p w14:paraId="4B962119" w14:textId="0CCB1344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CS_06(3) Utworzenie modułów informatyczn</w:t>
            </w:r>
            <w:r w:rsidR="00FE6BE8" w:rsidRPr="004502BD">
              <w:rPr>
                <w:rFonts w:ascii="Calibri" w:eastAsia="MS Mincho" w:hAnsi="Calibri"/>
                <w:iCs/>
                <w:lang w:eastAsia="en-US"/>
              </w:rPr>
              <w:t>ych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, do których każdy pracownik mógłby wprowadzać dodatkowe aktywności wykonywane z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afiliacją ZUT</w:t>
            </w:r>
          </w:p>
        </w:tc>
        <w:tc>
          <w:tcPr>
            <w:tcW w:w="5521" w:type="dxa"/>
          </w:tcPr>
          <w:p w14:paraId="5980A7E7" w14:textId="052F4739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CS_06(3).WSK1 – Liczba modułów informatycznych, związanych z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raportowaniem i monitorowaniem aktywności pracowników, w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których wskazywana jest afiliacja ZUT</w:t>
            </w:r>
          </w:p>
        </w:tc>
      </w:tr>
      <w:tr w:rsidR="005340DE" w:rsidRPr="004502BD" w14:paraId="78EA90ED" w14:textId="77777777" w:rsidTr="004502BD">
        <w:trPr>
          <w:jc w:val="center"/>
        </w:trPr>
        <w:tc>
          <w:tcPr>
            <w:tcW w:w="3426" w:type="dxa"/>
          </w:tcPr>
          <w:p w14:paraId="6390C4EE" w14:textId="7D764F38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CS_06(4) Wdrożenie systemu Elektronicznego Obiegu Dokumentów księgowych, finansowych, technicznych i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projektowych</w:t>
            </w:r>
          </w:p>
        </w:tc>
        <w:tc>
          <w:tcPr>
            <w:tcW w:w="5521" w:type="dxa"/>
          </w:tcPr>
          <w:p w14:paraId="408058D7" w14:textId="23431DC9" w:rsidR="00C0441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CS_06(4).WSK1 – Liczba procesów, wspieranych z zastosowaniem systemu Elektronicznego Obiegu Dokumentów w obszarze finansów i księgowości</w:t>
            </w:r>
          </w:p>
          <w:p w14:paraId="16DCF844" w14:textId="6631130D" w:rsidR="00C0441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CS_06(4).WSK2 – Liczba procesów, wspieranych z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zastosowaniem systemu Elektronicznego Obiegu Dokumentów w obszarze zagadnień technicznych</w:t>
            </w:r>
          </w:p>
          <w:p w14:paraId="43DFB9E0" w14:textId="14D2B1FA" w:rsidR="005340DE" w:rsidRPr="004502BD" w:rsidRDefault="00C0441E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CS_06(4).WSK3 – Liczba procesów, wspieranych z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zastosowaniem systemu Elektronicznego Obiegu Dokumentów w obszarze zarządzania i monitorowania projektów</w:t>
            </w:r>
          </w:p>
        </w:tc>
      </w:tr>
      <w:tr w:rsidR="005340DE" w:rsidRPr="004502BD" w14:paraId="00782B0E" w14:textId="77777777" w:rsidTr="004502BD">
        <w:trPr>
          <w:jc w:val="center"/>
        </w:trPr>
        <w:tc>
          <w:tcPr>
            <w:tcW w:w="3426" w:type="dxa"/>
          </w:tcPr>
          <w:p w14:paraId="59C6CA09" w14:textId="4702198B" w:rsidR="005340DE" w:rsidRPr="004502BD" w:rsidRDefault="00644316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CS_06(5) Opracowanie i wdrożenie wybranego modelu kultury organizacyjnej, wspierającego realizację celów strategicznych</w:t>
            </w:r>
          </w:p>
        </w:tc>
        <w:tc>
          <w:tcPr>
            <w:tcW w:w="5521" w:type="dxa"/>
          </w:tcPr>
          <w:p w14:paraId="61C5A223" w14:textId="23CA98D0" w:rsidR="00644316" w:rsidRPr="004502BD" w:rsidRDefault="00644316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CS_06(5).WSK1 – Liczba obszarów oraz atrybutów modelu kultury organizacyjnej, dostosowana do potrzeb ZUT</w:t>
            </w:r>
          </w:p>
          <w:p w14:paraId="3A419183" w14:textId="10061DCA" w:rsidR="005340DE" w:rsidRPr="004502BD" w:rsidRDefault="00644316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CS_06(5).WSK2 – Liczba osób Uczelni, zaangażowanych w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propagowanie modelu kultury organizacyjnej w ZUT</w:t>
            </w:r>
          </w:p>
        </w:tc>
      </w:tr>
    </w:tbl>
    <w:p w14:paraId="41F02C31" w14:textId="23D2F86E" w:rsidR="008D02A3" w:rsidRPr="004502BD" w:rsidRDefault="008D02A3" w:rsidP="00D60E79">
      <w:pPr>
        <w:pStyle w:val="Akapitzlist"/>
        <w:numPr>
          <w:ilvl w:val="1"/>
          <w:numId w:val="6"/>
        </w:numPr>
        <w:spacing w:before="120" w:after="120" w:line="312" w:lineRule="auto"/>
        <w:ind w:left="624" w:hanging="284"/>
        <w:contextualSpacing w:val="0"/>
        <w:outlineLvl w:val="1"/>
        <w:rPr>
          <w:rFonts w:ascii="Calibri" w:eastAsia="MS Mincho" w:hAnsi="Calibri"/>
          <w:b/>
          <w:bCs/>
          <w:sz w:val="28"/>
          <w:szCs w:val="28"/>
        </w:rPr>
      </w:pPr>
      <w:bookmarkStart w:id="32" w:name="_Toc108610919"/>
      <w:r w:rsidRPr="004502BD">
        <w:rPr>
          <w:rFonts w:ascii="Calibri" w:eastAsia="MS Mincho" w:hAnsi="Calibri"/>
          <w:b/>
          <w:bCs/>
          <w:sz w:val="28"/>
          <w:szCs w:val="28"/>
        </w:rPr>
        <w:t xml:space="preserve">Obszar </w:t>
      </w:r>
      <w:r w:rsidR="00C27040" w:rsidRPr="004502BD">
        <w:rPr>
          <w:rFonts w:ascii="Calibri" w:eastAsia="MS Mincho" w:hAnsi="Calibri"/>
          <w:b/>
          <w:bCs/>
          <w:sz w:val="28"/>
          <w:szCs w:val="28"/>
        </w:rPr>
        <w:t xml:space="preserve">strategiczny </w:t>
      </w:r>
      <w:r w:rsidR="003C4F11" w:rsidRPr="004502BD">
        <w:rPr>
          <w:rFonts w:ascii="Calibri" w:eastAsia="MS Mincho" w:hAnsi="Calibri"/>
          <w:b/>
          <w:bCs/>
          <w:sz w:val="28"/>
          <w:szCs w:val="28"/>
        </w:rPr>
        <w:t xml:space="preserve">O3 </w:t>
      </w:r>
      <w:r w:rsidR="00CA53A2" w:rsidRPr="004502BD">
        <w:rPr>
          <w:rFonts w:ascii="Calibri" w:eastAsia="MS Mincho" w:hAnsi="Calibri"/>
          <w:b/>
          <w:bCs/>
          <w:sz w:val="28"/>
          <w:szCs w:val="28"/>
        </w:rPr>
        <w:t>–</w:t>
      </w:r>
      <w:r w:rsidRPr="004502BD">
        <w:rPr>
          <w:rFonts w:ascii="Calibri" w:eastAsia="MS Mincho" w:hAnsi="Calibri"/>
          <w:b/>
          <w:bCs/>
          <w:sz w:val="28"/>
          <w:szCs w:val="28"/>
        </w:rPr>
        <w:t xml:space="preserve"> </w:t>
      </w:r>
      <w:r w:rsidR="005E0940" w:rsidRPr="004502BD">
        <w:rPr>
          <w:rFonts w:ascii="Calibri" w:eastAsia="MS Mincho" w:hAnsi="Calibri"/>
          <w:b/>
          <w:bCs/>
          <w:sz w:val="28"/>
          <w:szCs w:val="28"/>
        </w:rPr>
        <w:t>S</w:t>
      </w:r>
      <w:r w:rsidRPr="004502BD">
        <w:rPr>
          <w:rFonts w:ascii="Calibri" w:eastAsia="MS Mincho" w:hAnsi="Calibri"/>
          <w:b/>
          <w:bCs/>
          <w:sz w:val="28"/>
          <w:szCs w:val="28"/>
        </w:rPr>
        <w:t>ystemy wynagradzania i motywowania</w:t>
      </w:r>
      <w:bookmarkEnd w:id="32"/>
    </w:p>
    <w:p w14:paraId="405B138E" w14:textId="1D95EBD1" w:rsidR="004502BD" w:rsidRPr="004502BD" w:rsidRDefault="004502BD" w:rsidP="00D60E79">
      <w:pPr>
        <w:spacing w:before="120" w:after="120" w:line="312" w:lineRule="auto"/>
        <w:ind w:left="1418" w:hanging="1418"/>
        <w:rPr>
          <w:rFonts w:ascii="Calibri" w:eastAsia="MS Mincho" w:hAnsi="Calibri"/>
          <w:iCs/>
          <w:lang w:eastAsia="en-US"/>
        </w:rPr>
      </w:pPr>
      <w:r w:rsidRPr="004502BD">
        <w:rPr>
          <w:rFonts w:ascii="Calibri" w:eastAsia="MS Mincho" w:hAnsi="Calibri"/>
          <w:b/>
          <w:bCs/>
          <w:iCs/>
          <w:lang w:eastAsia="en-US"/>
        </w:rPr>
        <w:t>Cel strategiczny</w:t>
      </w:r>
      <w:r>
        <w:rPr>
          <w:rFonts w:ascii="Calibri" w:eastAsia="MS Mincho" w:hAnsi="Calibri"/>
          <w:b/>
          <w:bCs/>
          <w:iCs/>
          <w:lang w:eastAsia="en-US"/>
        </w:rPr>
        <w:t xml:space="preserve">: </w:t>
      </w:r>
      <w:r w:rsidRPr="004502BD">
        <w:rPr>
          <w:rFonts w:ascii="Calibri" w:eastAsia="MS Mincho" w:hAnsi="Calibri"/>
          <w:iCs/>
          <w:lang w:eastAsia="en-US"/>
        </w:rPr>
        <w:t>CS_07 – Poprawa efektywności modelu wynagradzania i motywowania pracowników niebędących nauczycielami akademickimi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5908"/>
      </w:tblGrid>
      <w:tr w:rsidR="000577C7" w:rsidRPr="004502BD" w14:paraId="6EF4BBDB" w14:textId="77777777" w:rsidTr="004502BD">
        <w:trPr>
          <w:tblHeader/>
          <w:jc w:val="center"/>
        </w:trPr>
        <w:tc>
          <w:tcPr>
            <w:tcW w:w="3039" w:type="dxa"/>
          </w:tcPr>
          <w:p w14:paraId="3C9C2F7F" w14:textId="595EC9D4" w:rsidR="000577C7" w:rsidRPr="004502BD" w:rsidRDefault="000577C7" w:rsidP="00D60E79">
            <w:pPr>
              <w:spacing w:before="120" w:after="120"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908" w:type="dxa"/>
          </w:tcPr>
          <w:p w14:paraId="2595629C" w14:textId="3094D929" w:rsidR="000577C7" w:rsidRPr="004502BD" w:rsidRDefault="000577C7" w:rsidP="00D60E79">
            <w:pPr>
              <w:spacing w:before="120" w:after="120" w:line="312" w:lineRule="auto"/>
              <w:outlineLvl w:val="3"/>
              <w:rPr>
                <w:rFonts w:ascii="Calibri" w:eastAsia="MS Mincho" w:hAnsi="Calibri"/>
                <w:b/>
                <w:bCs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b/>
                <w:bCs/>
                <w:iCs/>
                <w:lang w:eastAsia="en-US"/>
              </w:rPr>
              <w:t>Wskaźniki</w:t>
            </w:r>
          </w:p>
        </w:tc>
      </w:tr>
      <w:tr w:rsidR="000577C7" w:rsidRPr="004502BD" w14:paraId="3B282424" w14:textId="77777777" w:rsidTr="004502BD">
        <w:trPr>
          <w:jc w:val="center"/>
        </w:trPr>
        <w:tc>
          <w:tcPr>
            <w:tcW w:w="3039" w:type="dxa"/>
            <w:vAlign w:val="center"/>
          </w:tcPr>
          <w:p w14:paraId="3DD7C1CF" w14:textId="509216D6" w:rsidR="000577C7" w:rsidRPr="004502BD" w:rsidRDefault="006B73EA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CS_07(1) Zainicjowanie prac nad powiązaniem oceny okresowej pracowników z awansem stanowiskowym oraz wynagrodzeniem zasadniczym</w:t>
            </w:r>
          </w:p>
        </w:tc>
        <w:tc>
          <w:tcPr>
            <w:tcW w:w="5908" w:type="dxa"/>
          </w:tcPr>
          <w:p w14:paraId="6B616663" w14:textId="3BDA19B7" w:rsidR="006B73EA" w:rsidRPr="004502BD" w:rsidRDefault="006B73EA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CS_07(1).WSK1 – Liczba zidentyfikowanych powiązań pomiędzy elementami oceny okresowej a ścieżkami awansu zawodowego;</w:t>
            </w:r>
          </w:p>
          <w:p w14:paraId="12A1CF7D" w14:textId="10A334A0" w:rsidR="006B73EA" w:rsidRPr="004502BD" w:rsidRDefault="006B73EA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CS_07(1).WSK2 – Liczba zdefiniowanych propozycji ścieżki awansu zawodowego w ramach Uczelni;</w:t>
            </w:r>
          </w:p>
          <w:p w14:paraId="55E48751" w14:textId="3AF53526" w:rsidR="000577C7" w:rsidRPr="004502BD" w:rsidRDefault="006B73EA" w:rsidP="00D60E79">
            <w:pPr>
              <w:spacing w:line="312" w:lineRule="auto"/>
              <w:outlineLvl w:val="3"/>
              <w:rPr>
                <w:rFonts w:ascii="Calibri" w:eastAsia="MS Mincho" w:hAnsi="Calibri"/>
                <w:iCs/>
                <w:lang w:eastAsia="en-US"/>
              </w:rPr>
            </w:pPr>
            <w:r w:rsidRPr="004502BD">
              <w:rPr>
                <w:rFonts w:ascii="Calibri" w:eastAsia="MS Mincho" w:hAnsi="Calibri"/>
                <w:iCs/>
                <w:lang w:eastAsia="en-US"/>
              </w:rPr>
              <w:t>CS_07(1).WSK3 – Liczba składników wynagrodzenia pozostających w</w:t>
            </w:r>
            <w:r w:rsidR="004502BD">
              <w:rPr>
                <w:rFonts w:ascii="Calibri" w:eastAsia="MS Mincho" w:hAnsi="Calibri"/>
                <w:iCs/>
                <w:lang w:eastAsia="en-US"/>
              </w:rPr>
              <w:t> </w:t>
            </w:r>
            <w:r w:rsidRPr="004502BD">
              <w:rPr>
                <w:rFonts w:ascii="Calibri" w:eastAsia="MS Mincho" w:hAnsi="Calibri"/>
                <w:iCs/>
                <w:lang w:eastAsia="en-US"/>
              </w:rPr>
              <w:t>ścisłej korelacji ze stopniami awansu zawodowego.</w:t>
            </w:r>
          </w:p>
        </w:tc>
      </w:tr>
    </w:tbl>
    <w:p w14:paraId="3DF0104D" w14:textId="51B4664D" w:rsidR="00F045A5" w:rsidRPr="004502BD" w:rsidRDefault="00F045A5" w:rsidP="004502BD">
      <w:pPr>
        <w:spacing w:line="360" w:lineRule="auto"/>
        <w:ind w:left="680"/>
        <w:outlineLvl w:val="3"/>
        <w:rPr>
          <w:rFonts w:ascii="Calibri" w:hAnsi="Calibri"/>
          <w:b/>
          <w:sz w:val="24"/>
          <w:szCs w:val="24"/>
        </w:rPr>
      </w:pPr>
      <w:r w:rsidRPr="004502BD">
        <w:rPr>
          <w:rFonts w:ascii="Calibri" w:hAnsi="Calibri"/>
          <w:sz w:val="24"/>
          <w:szCs w:val="24"/>
        </w:rPr>
        <w:br w:type="page"/>
      </w:r>
    </w:p>
    <w:p w14:paraId="151A6907" w14:textId="3DA48EDA" w:rsidR="00F045A5" w:rsidRPr="00590752" w:rsidRDefault="00F045A5" w:rsidP="00590752">
      <w:pPr>
        <w:shd w:val="clear" w:color="auto" w:fill="FFFFFF"/>
        <w:spacing w:before="120" w:after="120" w:line="360" w:lineRule="auto"/>
        <w:contextualSpacing/>
        <w:jc w:val="right"/>
        <w:rPr>
          <w:rFonts w:ascii="Calibri" w:hAnsi="Calibri"/>
          <w:b/>
          <w:smallCaps/>
        </w:rPr>
      </w:pPr>
      <w:bookmarkStart w:id="33" w:name="_Toc108610921"/>
      <w:r w:rsidRPr="00590752">
        <w:rPr>
          <w:rFonts w:ascii="Calibri" w:hAnsi="Calibri"/>
        </w:rPr>
        <w:lastRenderedPageBreak/>
        <w:t>Załącznik</w:t>
      </w:r>
      <w:r w:rsidRPr="00590752">
        <w:rPr>
          <w:rFonts w:ascii="Calibri" w:hAnsi="Calibri"/>
        </w:rPr>
        <w:br/>
        <w:t xml:space="preserve">do Strategii Zarządzania Zasobami Ludzkimi w </w:t>
      </w:r>
      <w:r w:rsidR="002F2E55" w:rsidRPr="00590752">
        <w:rPr>
          <w:rFonts w:ascii="Calibri" w:hAnsi="Calibri"/>
        </w:rPr>
        <w:t xml:space="preserve">ZUT </w:t>
      </w:r>
      <w:r w:rsidRPr="00590752">
        <w:rPr>
          <w:rFonts w:ascii="Calibri" w:hAnsi="Calibri"/>
        </w:rPr>
        <w:t>na lata 202</w:t>
      </w:r>
      <w:r w:rsidR="00695635" w:rsidRPr="00590752">
        <w:rPr>
          <w:rFonts w:ascii="Calibri" w:hAnsi="Calibri"/>
        </w:rPr>
        <w:t>3</w:t>
      </w:r>
      <w:r w:rsidRPr="00590752">
        <w:rPr>
          <w:rFonts w:ascii="Calibri" w:hAnsi="Calibri"/>
        </w:rPr>
        <w:t xml:space="preserve"> – 202</w:t>
      </w:r>
      <w:bookmarkEnd w:id="33"/>
      <w:r w:rsidR="00695635" w:rsidRPr="00590752">
        <w:rPr>
          <w:rFonts w:ascii="Calibri" w:hAnsi="Calibri"/>
        </w:rPr>
        <w:t>6</w:t>
      </w:r>
    </w:p>
    <w:p w14:paraId="27225B63" w14:textId="3D9C6509" w:rsidR="009C7BE5" w:rsidRPr="00590752" w:rsidRDefault="009C7BE5" w:rsidP="00590752">
      <w:pPr>
        <w:shd w:val="clear" w:color="auto" w:fill="FFFFFF"/>
        <w:spacing w:before="360" w:line="360" w:lineRule="auto"/>
        <w:jc w:val="center"/>
        <w:outlineLvl w:val="0"/>
        <w:rPr>
          <w:rFonts w:ascii="Calibri" w:hAnsi="Calibri"/>
          <w:b/>
          <w:smallCaps/>
          <w:sz w:val="22"/>
          <w:szCs w:val="22"/>
        </w:rPr>
      </w:pPr>
      <w:bookmarkStart w:id="34" w:name="_Toc108610922"/>
      <w:r w:rsidRPr="00590752">
        <w:rPr>
          <w:rFonts w:ascii="Calibri" w:hAnsi="Calibri"/>
          <w:b/>
          <w:sz w:val="24"/>
          <w:szCs w:val="24"/>
        </w:rPr>
        <w:t xml:space="preserve">Szczegółowe dane liczbowe i </w:t>
      </w:r>
      <w:r w:rsidR="00CA58DB" w:rsidRPr="00590752">
        <w:rPr>
          <w:rFonts w:ascii="Calibri" w:hAnsi="Calibri"/>
          <w:b/>
          <w:sz w:val="24"/>
          <w:szCs w:val="24"/>
        </w:rPr>
        <w:t>udziały</w:t>
      </w:r>
      <w:r w:rsidRPr="00590752">
        <w:rPr>
          <w:rFonts w:ascii="Calibri" w:hAnsi="Calibri"/>
          <w:b/>
          <w:sz w:val="24"/>
          <w:szCs w:val="24"/>
        </w:rPr>
        <w:t xml:space="preserve"> w poszczególnych grupach pracowniczych</w:t>
      </w:r>
      <w:bookmarkStart w:id="35" w:name="_Toc108610923"/>
      <w:bookmarkEnd w:id="34"/>
      <w:r w:rsidR="00EC6C94" w:rsidRPr="00590752">
        <w:rPr>
          <w:rFonts w:ascii="Calibri" w:hAnsi="Calibri"/>
          <w:b/>
          <w:sz w:val="24"/>
          <w:szCs w:val="24"/>
        </w:rPr>
        <w:br/>
      </w:r>
      <w:r w:rsidRPr="00590752">
        <w:rPr>
          <w:rFonts w:ascii="Calibri" w:hAnsi="Calibri"/>
          <w:sz w:val="22"/>
          <w:szCs w:val="22"/>
        </w:rPr>
        <w:t xml:space="preserve">(stan na 31 </w:t>
      </w:r>
      <w:r w:rsidR="00D23AFE" w:rsidRPr="00590752">
        <w:rPr>
          <w:rFonts w:ascii="Calibri" w:hAnsi="Calibri"/>
          <w:sz w:val="22"/>
          <w:szCs w:val="22"/>
        </w:rPr>
        <w:t xml:space="preserve">maja </w:t>
      </w:r>
      <w:r w:rsidRPr="00590752">
        <w:rPr>
          <w:rFonts w:ascii="Calibri" w:hAnsi="Calibri"/>
          <w:sz w:val="22"/>
          <w:szCs w:val="22"/>
        </w:rPr>
        <w:t>202</w:t>
      </w:r>
      <w:r w:rsidR="00D23AFE" w:rsidRPr="00590752">
        <w:rPr>
          <w:rFonts w:ascii="Calibri" w:hAnsi="Calibri"/>
          <w:sz w:val="22"/>
          <w:szCs w:val="22"/>
        </w:rPr>
        <w:t>3</w:t>
      </w:r>
      <w:r w:rsidRPr="00590752">
        <w:rPr>
          <w:rFonts w:ascii="Calibri" w:hAnsi="Calibri"/>
          <w:sz w:val="22"/>
          <w:szCs w:val="22"/>
        </w:rPr>
        <w:t xml:space="preserve"> r.)</w:t>
      </w:r>
      <w:bookmarkEnd w:id="35"/>
    </w:p>
    <w:p w14:paraId="31F1D61A" w14:textId="40F83D23" w:rsidR="002F2E55" w:rsidRPr="00590752" w:rsidRDefault="0087359F" w:rsidP="00590752">
      <w:pPr>
        <w:pStyle w:val="Styl1"/>
        <w:rPr>
          <w:smallCaps/>
        </w:rPr>
      </w:pPr>
      <w:r w:rsidRPr="00590752">
        <w:t>N</w:t>
      </w:r>
      <w:r w:rsidR="009D2BEC" w:rsidRPr="00590752">
        <w:t xml:space="preserve">auczyciele akademiccy </w:t>
      </w:r>
      <w:r w:rsidRPr="00590752">
        <w:t>– g</w:t>
      </w:r>
      <w:r w:rsidR="00B03B67" w:rsidRPr="00590752">
        <w:t>rupa</w:t>
      </w:r>
      <w:r w:rsidR="009D2BEC" w:rsidRPr="00590752">
        <w:t xml:space="preserve"> </w:t>
      </w:r>
      <w:r w:rsidR="002F2E55" w:rsidRPr="00590752">
        <w:t>badawczo-dydaktyczna</w:t>
      </w:r>
    </w:p>
    <w:p w14:paraId="25AF659C" w14:textId="3DC012C2" w:rsidR="002F2E55" w:rsidRPr="00590752" w:rsidRDefault="002352EE" w:rsidP="00590752">
      <w:pPr>
        <w:spacing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48,3 lat, w tym: kobiety – 48,2 lat (udział 44%); mężczyźni – 48,5 lat (udział 56</w:t>
      </w:r>
      <w:r w:rsidR="002F2E55" w:rsidRPr="00590752">
        <w:rPr>
          <w:rFonts w:ascii="Calibri" w:hAnsi="Calibri"/>
          <w:bCs/>
        </w:rPr>
        <w:t>%)</w:t>
      </w:r>
    </w:p>
    <w:p w14:paraId="54D9D40F" w14:textId="65F67AAB" w:rsidR="002F2E55" w:rsidRDefault="00695A83" w:rsidP="002F2E55">
      <w:pPr>
        <w:jc w:val="both"/>
      </w:pPr>
      <w:r>
        <w:rPr>
          <w:noProof/>
        </w:rPr>
        <w:drawing>
          <wp:inline distT="0" distB="0" distL="0" distR="0" wp14:anchorId="4432177B" wp14:editId="56FD0AFA">
            <wp:extent cx="5486400" cy="3240000"/>
            <wp:effectExtent l="0" t="0" r="0" b="1778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074"/>
      </w:tblGrid>
      <w:tr w:rsidR="005E3785" w:rsidRPr="005E3785" w14:paraId="469F9FF1" w14:textId="77777777" w:rsidTr="005E3785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0755D5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48E2B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Kobiety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77ECD88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Mężczyźni</w:t>
            </w:r>
          </w:p>
        </w:tc>
      </w:tr>
      <w:tr w:rsidR="005E3785" w:rsidRPr="005E3785" w14:paraId="155D91E1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C7A99A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27CF8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2411209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E3785" w:rsidRPr="005E3785" w14:paraId="685D8714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B21778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B1FF2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F458073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E3785" w:rsidRPr="005E3785" w14:paraId="48CAD11B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13F928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A6D25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649D05A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E3785" w:rsidRPr="005E3785" w14:paraId="36AB0803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4CC6E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366B6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5E82A4A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5E3785" w:rsidRPr="005E3785" w14:paraId="6D019E67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5F3E98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12F74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9B62DA3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5E3785" w:rsidRPr="005E3785" w14:paraId="0CFDF9E2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26CD9A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A7445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73B677E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E3785" w:rsidRPr="005E3785" w14:paraId="6264C095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6813EB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0D66A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3BE9B9E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E3785" w:rsidRPr="005E3785" w14:paraId="29669FDC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3CF935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1415F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0A58831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E3785" w:rsidRPr="005E3785" w14:paraId="418E8D37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0F8F84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19791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1205CA2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E3785" w:rsidRPr="005E3785" w14:paraId="355645DC" w14:textId="77777777" w:rsidTr="005E3785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CC5312" w14:textId="77777777" w:rsidR="005E3785" w:rsidRPr="005E3785" w:rsidRDefault="005E3785" w:rsidP="005E378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B9614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4D9747A" w14:textId="77777777" w:rsidR="005E3785" w:rsidRPr="005E3785" w:rsidRDefault="005E3785" w:rsidP="005E378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43A91ABE" w14:textId="701F4FCD" w:rsidR="002F2E55" w:rsidRPr="00590752" w:rsidRDefault="002F2E55" w:rsidP="00590752">
      <w:pPr>
        <w:spacing w:before="60" w:line="360" w:lineRule="auto"/>
        <w:rPr>
          <w:rFonts w:ascii="Calibri" w:hAnsi="Calibri" w:cs="Arial"/>
          <w:bCs/>
        </w:rPr>
      </w:pPr>
      <w:r w:rsidRPr="00590752">
        <w:rPr>
          <w:rFonts w:ascii="Calibri" w:hAnsi="Calibri"/>
          <w:bCs/>
          <w:sz w:val="22"/>
          <w:szCs w:val="22"/>
        </w:rPr>
        <w:t>Wykres przedstawia dane uśrednione dla całej Uczelni, zwraca uwagę mały odsetek kobiet w najmłodszej i</w:t>
      </w:r>
      <w:r w:rsidR="004F7F9B" w:rsidRPr="00590752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najstarszej grupie pracowników. Widoczny jest także efekt luki pokoleniowej w wieku 56-60 lat, choć</w:t>
      </w:r>
      <w:r w:rsidR="00590752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sytuacja ta jest zróżnicowana w poszczególnych dyscyplinach</w:t>
      </w:r>
      <w:r w:rsidRPr="00590752">
        <w:rPr>
          <w:rFonts w:ascii="Calibri" w:hAnsi="Calibri" w:cs="Arial"/>
          <w:bCs/>
        </w:rPr>
        <w:t>.</w:t>
      </w:r>
    </w:p>
    <w:p w14:paraId="4973B5F4" w14:textId="2499773E" w:rsidR="002F2E55" w:rsidRPr="00590752" w:rsidRDefault="0087359F" w:rsidP="00590752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>Nauczyciele akademiccy – grupa badawcza</w:t>
      </w:r>
    </w:p>
    <w:p w14:paraId="77181DB1" w14:textId="71FB0815" w:rsidR="002F2E55" w:rsidRPr="00590752" w:rsidRDefault="002352EE" w:rsidP="00590752">
      <w:pPr>
        <w:spacing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39,3 lat, w tym: kobiety – 32,5</w:t>
      </w:r>
      <w:r w:rsidR="002F2E55" w:rsidRPr="00590752">
        <w:rPr>
          <w:rFonts w:ascii="Calibri" w:hAnsi="Calibri"/>
          <w:bCs/>
        </w:rPr>
        <w:t xml:space="preserve"> lat</w:t>
      </w:r>
      <w:r w:rsidR="00B33567" w:rsidRPr="00590752">
        <w:rPr>
          <w:rFonts w:ascii="Calibri" w:hAnsi="Calibri"/>
          <w:bCs/>
        </w:rPr>
        <w:t>a</w:t>
      </w:r>
      <w:r w:rsidR="002F2E55" w:rsidRPr="00590752">
        <w:rPr>
          <w:rFonts w:ascii="Calibri" w:hAnsi="Calibri"/>
          <w:bCs/>
        </w:rPr>
        <w:t xml:space="preserve"> (ud</w:t>
      </w:r>
      <w:r w:rsidRPr="00590752">
        <w:rPr>
          <w:rFonts w:ascii="Calibri" w:hAnsi="Calibri"/>
          <w:bCs/>
        </w:rPr>
        <w:t xml:space="preserve">ział 14%); mężczyźni – 40,7 lat (udział 86 </w:t>
      </w:r>
      <w:r w:rsidR="002F2E55" w:rsidRPr="00590752">
        <w:rPr>
          <w:rFonts w:ascii="Calibri" w:hAnsi="Calibri"/>
          <w:bCs/>
        </w:rPr>
        <w:t>%)</w:t>
      </w:r>
    </w:p>
    <w:p w14:paraId="7337F726" w14:textId="1D2481FC" w:rsidR="002F2E55" w:rsidRDefault="00AB3E52" w:rsidP="002F2E55">
      <w:pPr>
        <w:jc w:val="both"/>
      </w:pPr>
      <w:r>
        <w:rPr>
          <w:noProof/>
        </w:rPr>
        <w:drawing>
          <wp:inline distT="0" distB="0" distL="0" distR="0" wp14:anchorId="63B6B6F5" wp14:editId="0D41D5BA">
            <wp:extent cx="5486400" cy="3240000"/>
            <wp:effectExtent l="0" t="0" r="0" b="1778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617FA" w:rsidRPr="00A617FA" w14:paraId="10B54A03" w14:textId="77777777" w:rsidTr="00A617FA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DA0A7" w14:textId="6B300FD3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90800" w14:textId="6DFF17CE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4BFF7" w14:textId="53E9EB02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617FA" w:rsidRPr="00A617FA" w14:paraId="7FB2C462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E5226B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627BC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F07FF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17FA" w:rsidRPr="00A617FA" w14:paraId="6E9164DD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24E275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069EA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BED75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617FA" w:rsidRPr="00A617FA" w14:paraId="5CCADA9F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D75770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245EC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1273C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17FA" w:rsidRPr="00A617FA" w14:paraId="2A82AB9A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1FDF2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8143E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D5495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17FA" w:rsidRPr="00A617FA" w14:paraId="323ADFCE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DF3C1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D37E3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5D435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17FA" w:rsidRPr="00A617FA" w14:paraId="475E44FC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A8A0B4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DC14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CB811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17FA" w:rsidRPr="00A617FA" w14:paraId="5A26C947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89451A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CA9D8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CB489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17FA" w:rsidRPr="00A617FA" w14:paraId="39C6A024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049D02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82500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05195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17FA" w:rsidRPr="00A617FA" w14:paraId="182CA7A2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FA44D8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FDC0D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9A06F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17FA" w:rsidRPr="00A617FA" w14:paraId="447998B2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7AC26" w14:textId="77777777" w:rsidR="00A617FA" w:rsidRPr="00A617FA" w:rsidRDefault="00A617FA" w:rsidP="00A617F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3ED6C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803E1" w14:textId="77777777" w:rsidR="00A617FA" w:rsidRPr="00A617FA" w:rsidRDefault="00A617FA" w:rsidP="00A617F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8B3775A" w14:textId="4FA5D09F" w:rsidR="002F2E55" w:rsidRPr="00590752" w:rsidRDefault="002F2E55" w:rsidP="00590752">
      <w:pPr>
        <w:spacing w:before="60" w:line="336" w:lineRule="auto"/>
        <w:rPr>
          <w:rFonts w:ascii="Calibri" w:hAnsi="Calibri" w:cs="Arial"/>
          <w:b/>
          <w:bCs/>
          <w:smallCaps/>
        </w:rPr>
      </w:pPr>
      <w:r w:rsidRPr="00590752">
        <w:rPr>
          <w:rFonts w:ascii="Calibri" w:hAnsi="Calibri"/>
          <w:bCs/>
          <w:sz w:val="22"/>
          <w:szCs w:val="22"/>
        </w:rPr>
        <w:t>W grupie badawczej dominują pracownicy młodzi, w większości mężczyźni, widoczna jest bardzo duża luka pokoleniowa pomiędzy pracownikami w wieku emerytalnym lub przedemerytalnym a pozostałą częścią kadry. Specyfika tej grupy wiąże się z zatrudnieniami okresowymi w ramach projektów badawczych</w:t>
      </w:r>
      <w:r w:rsidRPr="00590752">
        <w:rPr>
          <w:rFonts w:ascii="Calibri" w:hAnsi="Calibri" w:cs="Arial"/>
          <w:bCs/>
        </w:rPr>
        <w:t>.</w:t>
      </w:r>
    </w:p>
    <w:p w14:paraId="626332DF" w14:textId="5349EEA7" w:rsidR="002F2E55" w:rsidRPr="00590752" w:rsidRDefault="0087359F" w:rsidP="008A1DC7">
      <w:pPr>
        <w:pageBreakBefore/>
        <w:spacing w:before="60" w:line="336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>Nauczyciele akademiccy – grupa dydaktyczna</w:t>
      </w:r>
    </w:p>
    <w:p w14:paraId="12A37D64" w14:textId="1D563B10" w:rsidR="002F2E55" w:rsidRPr="00590752" w:rsidRDefault="008C0B54" w:rsidP="00590752">
      <w:pPr>
        <w:spacing w:before="60" w:line="336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52,4 lat</w:t>
      </w:r>
      <w:r w:rsidR="00B33567" w:rsidRPr="00590752">
        <w:rPr>
          <w:rFonts w:ascii="Calibri" w:hAnsi="Calibri"/>
          <w:bCs/>
        </w:rPr>
        <w:t>a</w:t>
      </w:r>
      <w:r w:rsidRPr="00590752">
        <w:rPr>
          <w:rFonts w:ascii="Calibri" w:hAnsi="Calibri"/>
          <w:bCs/>
        </w:rPr>
        <w:t>, w tym: kobiety – 51,2 lat (udział 41%); mężczyźni – 53,3 lat</w:t>
      </w:r>
      <w:r w:rsidR="00B33567" w:rsidRPr="00590752">
        <w:rPr>
          <w:rFonts w:ascii="Calibri" w:hAnsi="Calibri"/>
          <w:bCs/>
        </w:rPr>
        <w:t>a</w:t>
      </w:r>
      <w:r w:rsidRPr="00590752">
        <w:rPr>
          <w:rFonts w:ascii="Calibri" w:hAnsi="Calibri"/>
          <w:bCs/>
        </w:rPr>
        <w:t xml:space="preserve"> (udział 59</w:t>
      </w:r>
      <w:r w:rsidR="002F2E55" w:rsidRPr="00590752">
        <w:rPr>
          <w:rFonts w:ascii="Calibri" w:hAnsi="Calibri"/>
          <w:bCs/>
        </w:rPr>
        <w:t>%)</w:t>
      </w:r>
    </w:p>
    <w:p w14:paraId="250E19C8" w14:textId="30966FAC" w:rsidR="002F2E55" w:rsidRPr="000B6EB1" w:rsidRDefault="003B34AA" w:rsidP="002F2E55">
      <w:pPr>
        <w:jc w:val="both"/>
      </w:pPr>
      <w:r>
        <w:rPr>
          <w:noProof/>
        </w:rPr>
        <w:drawing>
          <wp:inline distT="0" distB="0" distL="0" distR="0" wp14:anchorId="2ACA93D5" wp14:editId="12576680">
            <wp:extent cx="5486400" cy="3240000"/>
            <wp:effectExtent l="0" t="0" r="0" b="1778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617FA" w:rsidRPr="00A617FA" w14:paraId="1AAE9958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475C7" w14:textId="78013623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7469B" w14:textId="0D127DEA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C9722" w14:textId="4219404B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617FA" w:rsidRPr="00A617FA" w14:paraId="29725F5C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3D7BF8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99902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FB93E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617FA" w:rsidRPr="00A617FA" w14:paraId="20534C59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C10C30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D5704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01C87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17FA" w:rsidRPr="00A617FA" w14:paraId="36C7ECAA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4BBFD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CA197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FFF0A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617FA" w:rsidRPr="00A617FA" w14:paraId="7D3C999F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CEFAEB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CD5F2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8972E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617FA" w:rsidRPr="00A617FA" w14:paraId="659CA712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DE67C5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F9F8C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8936D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617FA" w:rsidRPr="00A617FA" w14:paraId="5B2CF40D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C23BA6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72E8A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138CD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617FA" w:rsidRPr="00A617FA" w14:paraId="71F32820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9B7FEC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75B78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D0986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617FA" w:rsidRPr="00A617FA" w14:paraId="19C8D4FA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575AA6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D5211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2461E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617FA" w:rsidRPr="00A617FA" w14:paraId="4EB4721B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9F39C3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7B77F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74BD1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17FA" w:rsidRPr="00A617FA" w14:paraId="1CA9A6C0" w14:textId="77777777" w:rsidTr="00A617F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8A6633" w14:textId="77777777" w:rsidR="00A617FA" w:rsidRPr="00A617FA" w:rsidRDefault="00A617FA" w:rsidP="00A617F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F9E0E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F2560" w14:textId="77777777" w:rsidR="00A617FA" w:rsidRPr="00A617FA" w:rsidRDefault="00A617FA" w:rsidP="00A617FA">
            <w:pPr>
              <w:jc w:val="right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28FFC6D4" w14:textId="06B88255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>W grupie dydaktycznej dominują pracownicy nieco starsi, co jest związane z przechodzeniem na etaty dydaktyczne części kadry, która nie uzyskiwała awansów naukowych w przewidzianych terminach (głównie</w:t>
      </w:r>
      <w:r w:rsidR="008A1DC7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 xml:space="preserve">dotyczy to habilitacji). Przy braku problemów w realizacji zwiększonego wymiaru pensum dydaktycznego na niektórych </w:t>
      </w:r>
      <w:r w:rsidR="00BB0E70" w:rsidRPr="00590752">
        <w:rPr>
          <w:rFonts w:ascii="Calibri" w:hAnsi="Calibri"/>
          <w:bCs/>
          <w:sz w:val="22"/>
          <w:szCs w:val="22"/>
        </w:rPr>
        <w:t>w</w:t>
      </w:r>
      <w:r w:rsidRPr="00590752">
        <w:rPr>
          <w:rFonts w:ascii="Calibri" w:hAnsi="Calibri"/>
          <w:bCs/>
          <w:sz w:val="22"/>
          <w:szCs w:val="22"/>
        </w:rPr>
        <w:t>ydziałach, a także zmianie zasad ewaluacji dyscyplin naukowych, zjawisko</w:t>
      </w:r>
      <w:r w:rsidR="008A1DC7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to</w:t>
      </w:r>
      <w:r w:rsidR="008A1DC7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uległo nasileniu w</w:t>
      </w:r>
      <w:r w:rsidR="004F7F9B" w:rsidRPr="00590752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ostatnich latach.</w:t>
      </w:r>
    </w:p>
    <w:p w14:paraId="577EBA42" w14:textId="68F11061" w:rsidR="002F2E55" w:rsidRPr="00590752" w:rsidRDefault="00BB0E70" w:rsidP="008A1DC7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 xml:space="preserve">Pracownicy niebędący nauczycielami akademickimi </w:t>
      </w:r>
      <w:r w:rsidR="0087359F" w:rsidRPr="00590752">
        <w:rPr>
          <w:rFonts w:ascii="Calibri" w:hAnsi="Calibri"/>
          <w:b/>
          <w:sz w:val="22"/>
          <w:szCs w:val="22"/>
        </w:rPr>
        <w:t>–</w:t>
      </w:r>
      <w:r w:rsidRPr="00590752">
        <w:rPr>
          <w:rFonts w:ascii="Calibri" w:hAnsi="Calibri"/>
          <w:b/>
          <w:sz w:val="22"/>
          <w:szCs w:val="22"/>
        </w:rPr>
        <w:t xml:space="preserve"> </w:t>
      </w:r>
      <w:r w:rsidR="0087359F" w:rsidRPr="00590752">
        <w:rPr>
          <w:rFonts w:ascii="Calibri" w:hAnsi="Calibri"/>
          <w:b/>
          <w:sz w:val="22"/>
          <w:szCs w:val="22"/>
        </w:rPr>
        <w:t>g</w:t>
      </w:r>
      <w:r w:rsidR="002F2E55" w:rsidRPr="00590752">
        <w:rPr>
          <w:rFonts w:ascii="Calibri" w:hAnsi="Calibri"/>
          <w:b/>
          <w:sz w:val="22"/>
          <w:szCs w:val="22"/>
        </w:rPr>
        <w:t>rupa badawczo-techniczna</w:t>
      </w:r>
    </w:p>
    <w:p w14:paraId="33BC60C0" w14:textId="2E8F0BD7" w:rsidR="002F2E55" w:rsidRPr="00590752" w:rsidRDefault="00BC17BD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41,4 lat</w:t>
      </w:r>
      <w:r w:rsidR="002F2E55" w:rsidRPr="00590752">
        <w:rPr>
          <w:rFonts w:ascii="Calibri" w:hAnsi="Calibri"/>
          <w:bCs/>
        </w:rPr>
        <w:t xml:space="preserve">, w tym: kobiety </w:t>
      </w:r>
      <w:r w:rsidRPr="00590752">
        <w:rPr>
          <w:rFonts w:ascii="Calibri" w:hAnsi="Calibri"/>
          <w:bCs/>
        </w:rPr>
        <w:t>– 38,2 lat (udział 44%); mężczyźni – 44,3 lat</w:t>
      </w:r>
      <w:r w:rsidR="00AA4649" w:rsidRPr="00590752">
        <w:rPr>
          <w:rFonts w:ascii="Calibri" w:hAnsi="Calibri"/>
          <w:bCs/>
        </w:rPr>
        <w:t>a</w:t>
      </w:r>
      <w:r w:rsidRPr="00590752">
        <w:rPr>
          <w:rFonts w:ascii="Calibri" w:hAnsi="Calibri"/>
          <w:bCs/>
        </w:rPr>
        <w:t xml:space="preserve"> (udział 56</w:t>
      </w:r>
      <w:r w:rsidR="002F2E55" w:rsidRPr="00590752">
        <w:rPr>
          <w:rFonts w:ascii="Calibri" w:hAnsi="Calibri"/>
          <w:bCs/>
        </w:rPr>
        <w:t>%)</w:t>
      </w:r>
    </w:p>
    <w:p w14:paraId="5CD8795E" w14:textId="3ACB7284" w:rsidR="002F2E55" w:rsidRDefault="00E96658" w:rsidP="002F2E55">
      <w:pPr>
        <w:jc w:val="both"/>
      </w:pPr>
      <w:r>
        <w:rPr>
          <w:noProof/>
        </w:rPr>
        <w:drawing>
          <wp:inline distT="0" distB="0" distL="0" distR="0" wp14:anchorId="04DB8570" wp14:editId="64DC2F4B">
            <wp:extent cx="5486400" cy="3240000"/>
            <wp:effectExtent l="0" t="0" r="0" b="1778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E5ACA" w:rsidRPr="00AE5ACA" w14:paraId="20D5CE8F" w14:textId="77777777" w:rsidTr="00AE5ACA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1E125D" w14:textId="1D8A924F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347EF" w14:textId="080CF19F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B86F9" w14:textId="14DC9E6B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E5ACA" w:rsidRPr="00AE5ACA" w14:paraId="6AC31AC6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1FE18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DB6C2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91ABA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5ACA" w:rsidRPr="00AE5ACA" w14:paraId="0A473A82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E70987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55397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48FA3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5ACA" w:rsidRPr="00AE5ACA" w14:paraId="6D5B6257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9C3BFB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5F336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02F17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5ACA" w:rsidRPr="00AE5ACA" w14:paraId="70DD7A03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D88D67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5948A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05018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E5ACA" w:rsidRPr="00AE5ACA" w14:paraId="7276663F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EC85C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97A9E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1C95A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5ACA" w:rsidRPr="00AE5ACA" w14:paraId="6820809B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3D7619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876A0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B8DED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E5ACA" w:rsidRPr="00AE5ACA" w14:paraId="5E6F64AC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F2AD66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2FBE6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651DD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E5ACA" w:rsidRPr="00AE5ACA" w14:paraId="1733917B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760F12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D17A8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15415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5ACA" w:rsidRPr="00AE5ACA" w14:paraId="145DDE14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60EC3C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37764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7F6A4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5ACA" w:rsidRPr="00AE5ACA" w14:paraId="1B16A8AD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1D5957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941A9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8CF54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AF3A6D6" w14:textId="6F6CB78A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 xml:space="preserve">W grupie tej dominują pracownicy stosunkowo młodzi, często posiadający stopień doktora. </w:t>
      </w:r>
      <w:r w:rsidR="008A1DC7">
        <w:rPr>
          <w:rFonts w:ascii="Calibri" w:hAnsi="Calibri"/>
          <w:bCs/>
          <w:sz w:val="22"/>
          <w:szCs w:val="22"/>
        </w:rPr>
        <w:br/>
      </w:r>
      <w:r w:rsidRPr="00590752">
        <w:rPr>
          <w:rFonts w:ascii="Calibri" w:hAnsi="Calibri"/>
          <w:bCs/>
          <w:sz w:val="22"/>
          <w:szCs w:val="22"/>
        </w:rPr>
        <w:t>Jest to wyjątkowo wyrównana grupa pod względem płci.</w:t>
      </w:r>
    </w:p>
    <w:p w14:paraId="75CCB0DE" w14:textId="09B674CF" w:rsidR="002F2E55" w:rsidRPr="00590752" w:rsidRDefault="0087359F" w:rsidP="008A1DC7">
      <w:pPr>
        <w:pageBreakBefore/>
        <w:spacing w:before="60" w:line="360" w:lineRule="auto"/>
        <w:ind w:right="-851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>Pracownicy niebędący nauczycielami akademickimi – grupa inżynieryjno-techniczna</w:t>
      </w:r>
    </w:p>
    <w:p w14:paraId="48AA262A" w14:textId="242DEBEF" w:rsidR="002F2E55" w:rsidRPr="00590752" w:rsidRDefault="00142E22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47,4 lat, w tym: kobiety – 46,6 lat (udział 33,0%); mężczyźni – 47,7 lat (udział 67</w:t>
      </w:r>
      <w:r w:rsidR="002F2E55" w:rsidRPr="00590752">
        <w:rPr>
          <w:rFonts w:ascii="Calibri" w:hAnsi="Calibri"/>
          <w:bCs/>
        </w:rPr>
        <w:t>,0%)</w:t>
      </w:r>
    </w:p>
    <w:p w14:paraId="4286FA4A" w14:textId="786BF590" w:rsidR="002F2E55" w:rsidRDefault="00E96658" w:rsidP="002F2E5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0B89D4E" wp14:editId="3A1490EA">
            <wp:extent cx="5486400" cy="3240000"/>
            <wp:effectExtent l="0" t="0" r="0" b="177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E5ACA" w:rsidRPr="00AE5ACA" w14:paraId="2DCF90C7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DE80AE" w14:textId="22E21AD2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B5B72" w14:textId="44CAFAC4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FDBCA" w14:textId="1F4D5361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E5ACA" w:rsidRPr="00AE5ACA" w14:paraId="24AFDA4B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F1E535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2DD98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C0B07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E5ACA" w:rsidRPr="00AE5ACA" w14:paraId="117C7F19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56456B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1C900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8E881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E5ACA" w:rsidRPr="00AE5ACA" w14:paraId="7194BCD9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249A93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AF7F5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743E7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E5ACA" w:rsidRPr="00AE5ACA" w14:paraId="616161BA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1DB90E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14166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6D4E0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E5ACA" w:rsidRPr="00AE5ACA" w14:paraId="55EAAD0D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EEF9EE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705BD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3FB40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E5ACA" w:rsidRPr="00AE5ACA" w14:paraId="5C5BCD63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FDADA8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BC904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B8722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E5ACA" w:rsidRPr="00AE5ACA" w14:paraId="5C13FD48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E324FB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E9F1A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A9431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E5ACA" w:rsidRPr="00AE5ACA" w14:paraId="5F0AA539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E89910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4AF7D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D1C7D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E5ACA" w:rsidRPr="00AE5ACA" w14:paraId="24E22FF2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71764A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3D504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FD605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5ACA" w:rsidRPr="00AE5ACA" w14:paraId="1E64954A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561E40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32DBB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E266B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4F3CCB57" w14:textId="6A4AC21B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>W grupie tej dominują mężczyźni, pomimo widocznej luki pokoleniowej w wieku 41-55 lat, jest to grupa dość zrównoważona wiekowo. Jednakże grupa ta jest bardzo zróżnicowana w poszczególnych jednostkach uczelni – znajdują się w niej zarówno informatycy i programiści, jak również pracownicy techniczni obsługujący maszyny i urządzenia, a także osoby pełniące obowiązki z pogranicza zadań administracyjnych.</w:t>
      </w:r>
    </w:p>
    <w:p w14:paraId="56F4968E" w14:textId="329BA597" w:rsidR="002F2E55" w:rsidRPr="00590752" w:rsidRDefault="00791ADF" w:rsidP="008A1DC7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>Pracownicy niebędący nauczycielami akademickimi – administracja</w:t>
      </w:r>
    </w:p>
    <w:p w14:paraId="00409889" w14:textId="608A45D3" w:rsidR="002F2E55" w:rsidRPr="00590752" w:rsidRDefault="00C14E15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47,1 lat, w tym:</w:t>
      </w:r>
      <w:r w:rsidR="00AA4649" w:rsidRPr="00590752">
        <w:rPr>
          <w:rFonts w:ascii="Calibri" w:hAnsi="Calibri"/>
          <w:bCs/>
        </w:rPr>
        <w:t xml:space="preserve"> kobiety – 47,2 lat (udział 89</w:t>
      </w:r>
      <w:r w:rsidRPr="00590752">
        <w:rPr>
          <w:rFonts w:ascii="Calibri" w:hAnsi="Calibri"/>
          <w:bCs/>
        </w:rPr>
        <w:t>%); mężczyźni – 46,8 lat (udział 11</w:t>
      </w:r>
      <w:r w:rsidR="002F2E55" w:rsidRPr="00590752">
        <w:rPr>
          <w:rFonts w:ascii="Calibri" w:hAnsi="Calibri"/>
          <w:bCs/>
        </w:rPr>
        <w:t>%)</w:t>
      </w:r>
    </w:p>
    <w:p w14:paraId="4928762B" w14:textId="7EF1ADE4" w:rsidR="002F2E55" w:rsidRDefault="00812C9B" w:rsidP="002F2E55">
      <w:pPr>
        <w:jc w:val="both"/>
      </w:pPr>
      <w:r>
        <w:rPr>
          <w:noProof/>
        </w:rPr>
        <w:drawing>
          <wp:inline distT="0" distB="0" distL="0" distR="0" wp14:anchorId="18A90771" wp14:editId="52CDBE00">
            <wp:extent cx="5486400" cy="3240000"/>
            <wp:effectExtent l="0" t="0" r="0" b="1778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E5ACA" w:rsidRPr="00AE5ACA" w14:paraId="595C3A31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C3AD3D" w14:textId="1FB73324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9C398" w14:textId="578BBC2F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16E2B" w14:textId="11C3FBAA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E5ACA" w:rsidRPr="00AE5ACA" w14:paraId="29CA9F51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314A15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3F120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64F3C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E5ACA" w:rsidRPr="00AE5ACA" w14:paraId="4FBF449D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4EBD31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CE7AE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0C0BF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E5ACA" w:rsidRPr="00AE5ACA" w14:paraId="4F3B1D15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B82415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D2CCB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C48A1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E5ACA" w:rsidRPr="00AE5ACA" w14:paraId="1EF03D73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78B3E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5907B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4990B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E5ACA" w:rsidRPr="00AE5ACA" w14:paraId="18FF70E9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22153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517A4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8A1AE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5ACA" w:rsidRPr="00AE5ACA" w14:paraId="2B22188A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9B4A90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84313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22068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5ACA" w:rsidRPr="00AE5ACA" w14:paraId="4B90256B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14290B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76CB3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209D6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E5ACA" w:rsidRPr="00AE5ACA" w14:paraId="4E1A915D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F84911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81128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6E84D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E5ACA" w:rsidRPr="00AE5ACA" w14:paraId="5D724A41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4769E2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5FFC9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27F17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5ACA" w:rsidRPr="00AE5ACA" w14:paraId="1F70700A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97829A" w14:textId="77777777" w:rsidR="00AE5ACA" w:rsidRPr="00AE5ACA" w:rsidRDefault="00AE5ACA" w:rsidP="00AE5AC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9F00A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A7BE9" w14:textId="77777777" w:rsidR="00AE5ACA" w:rsidRPr="00AE5ACA" w:rsidRDefault="00AE5ACA" w:rsidP="00AE5ACA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ABB6A26" w14:textId="34F7EEAD" w:rsidR="002F2E55" w:rsidRPr="00590752" w:rsidRDefault="002F2E55" w:rsidP="00590752">
      <w:pPr>
        <w:spacing w:before="60" w:line="360" w:lineRule="auto"/>
        <w:rPr>
          <w:rFonts w:ascii="Calibri" w:hAnsi="Calibri" w:cs="Arial"/>
          <w:b/>
          <w:bCs/>
          <w:smallCaps/>
        </w:rPr>
      </w:pPr>
      <w:r w:rsidRPr="00590752">
        <w:rPr>
          <w:rFonts w:ascii="Calibri" w:hAnsi="Calibri"/>
          <w:bCs/>
          <w:sz w:val="22"/>
          <w:szCs w:val="22"/>
        </w:rPr>
        <w:t>Grupa administracyjna jest silnie sfeminizowana, co wynika w znacznej mierze ze specyfiki pełnionych obowiązków. Widoczna jest również nieznaczna luka pokoleniowa w wielu 51-55 lat, ale także stosunkowo niewielka liczba młodych pracowników (poniżej 36 lat). Osoby w wieku emerytalnym stanowią relatywnie niewielki odsetek pracowników w tej grupie</w:t>
      </w:r>
      <w:r w:rsidRPr="00590752">
        <w:rPr>
          <w:rFonts w:ascii="Calibri" w:hAnsi="Calibri" w:cs="Arial"/>
          <w:bCs/>
        </w:rPr>
        <w:t>.</w:t>
      </w:r>
    </w:p>
    <w:p w14:paraId="51B5D2E8" w14:textId="6AD2A4F1" w:rsidR="002F2E55" w:rsidRPr="00590752" w:rsidRDefault="00791ADF" w:rsidP="008A1DC7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 xml:space="preserve">Pracownicy niebędący nauczycielami akademickimi </w:t>
      </w:r>
      <w:r w:rsidRPr="00590752">
        <w:rPr>
          <w:rFonts w:ascii="Calibri" w:hAnsi="Calibri"/>
          <w:b/>
          <w:sz w:val="22"/>
          <w:szCs w:val="22"/>
        </w:rPr>
        <w:softHyphen/>
        <w:t xml:space="preserve"> obsługa</w:t>
      </w:r>
    </w:p>
    <w:p w14:paraId="4768F888" w14:textId="4ADF3109" w:rsidR="002F2E55" w:rsidRPr="00590752" w:rsidRDefault="00ED7719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53,4 lat</w:t>
      </w:r>
      <w:r w:rsidR="00A571CE" w:rsidRPr="00590752">
        <w:rPr>
          <w:rFonts w:ascii="Calibri" w:hAnsi="Calibri"/>
          <w:bCs/>
        </w:rPr>
        <w:t>a</w:t>
      </w:r>
      <w:r w:rsidRPr="00590752">
        <w:rPr>
          <w:rFonts w:ascii="Calibri" w:hAnsi="Calibri"/>
          <w:bCs/>
        </w:rPr>
        <w:t>, w tym: kobiety – 52,9 lat</w:t>
      </w:r>
      <w:r w:rsidR="00A571CE" w:rsidRPr="00590752">
        <w:rPr>
          <w:rFonts w:ascii="Calibri" w:hAnsi="Calibri"/>
          <w:bCs/>
        </w:rPr>
        <w:t>a</w:t>
      </w:r>
      <w:r w:rsidRPr="00590752">
        <w:rPr>
          <w:rFonts w:ascii="Calibri" w:hAnsi="Calibri"/>
          <w:bCs/>
        </w:rPr>
        <w:t xml:space="preserve"> (udział 77%); mężczyźni – 55,2 lat (udział 23</w:t>
      </w:r>
      <w:r w:rsidR="002F2E55" w:rsidRPr="00590752">
        <w:rPr>
          <w:rFonts w:ascii="Calibri" w:hAnsi="Calibri"/>
          <w:bCs/>
        </w:rPr>
        <w:t>%)</w:t>
      </w:r>
    </w:p>
    <w:p w14:paraId="2113429D" w14:textId="37B765E7" w:rsidR="002F2E55" w:rsidRDefault="00812C9B" w:rsidP="002F2E55">
      <w:pPr>
        <w:jc w:val="both"/>
      </w:pPr>
      <w:r>
        <w:rPr>
          <w:noProof/>
        </w:rPr>
        <w:drawing>
          <wp:inline distT="0" distB="0" distL="0" distR="0" wp14:anchorId="11CD1C52" wp14:editId="5CF1832C">
            <wp:extent cx="5486400" cy="3240000"/>
            <wp:effectExtent l="0" t="0" r="0" b="1778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AE5ACA" w:rsidRPr="00AE5ACA" w14:paraId="2F357481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8F276D" w14:textId="6C225796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827F0" w14:textId="6316597A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0E386" w14:textId="4D1E72F9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AE5ACA" w:rsidRPr="00AE5ACA" w14:paraId="42D94548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C35733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50D4D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C31A4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E5ACA" w:rsidRPr="00AE5ACA" w14:paraId="6628098E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43B9CB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B6408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96517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5ACA" w:rsidRPr="00AE5ACA" w14:paraId="52C3F267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038380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88318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EF09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E5ACA" w:rsidRPr="00AE5ACA" w14:paraId="33154D83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3733DB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D3B9D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4D4D3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5ACA" w:rsidRPr="00AE5ACA" w14:paraId="5CC62734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4B7088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8F85C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CAAEE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E5ACA" w:rsidRPr="00AE5ACA" w14:paraId="0DDF8C6E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DADF51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5EFB5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9BEF5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E5ACA" w:rsidRPr="00AE5ACA" w14:paraId="573A6CC0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1B201E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BF5AB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C61A2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E5ACA" w:rsidRPr="00AE5ACA" w14:paraId="2D9BDC1D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6AE6FA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BEDDE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150F7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E5ACA" w:rsidRPr="00AE5ACA" w14:paraId="3C12FBFE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5809D8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E7DFB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3F035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E5ACA" w:rsidRPr="00AE5ACA" w14:paraId="4D640DB8" w14:textId="77777777" w:rsidTr="00AE5ACA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5A17D7" w14:textId="77777777" w:rsidR="00AE5ACA" w:rsidRPr="00AE5ACA" w:rsidRDefault="00AE5ACA" w:rsidP="00AE5ACA">
            <w:pPr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16167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2A581" w14:textId="77777777" w:rsidR="00AE5ACA" w:rsidRPr="00AE5ACA" w:rsidRDefault="00AE5ACA" w:rsidP="00AE5ACA">
            <w:pPr>
              <w:jc w:val="right"/>
              <w:rPr>
                <w:rFonts w:ascii="Calibri" w:hAnsi="Calibri" w:cs="Calibri"/>
                <w:color w:val="000000"/>
              </w:rPr>
            </w:pPr>
            <w:r w:rsidRPr="00AE5ACA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7AEF4644" w14:textId="1B90852F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>W grupie obsługi zauważalna jest przewaga liczebna kobiet, co jest związane ze specyfiką wykonywanych zadań, często związanych z utrzymaniem czystości i dozorem. Zdecydowana większość pracowników w tej grupie to osoby powyżej 45. roku życia, co w perspektywie kilkunastu lat może stanowić pewien problem w</w:t>
      </w:r>
      <w:r w:rsidR="004F7F9B" w:rsidRPr="00590752">
        <w:rPr>
          <w:rFonts w:ascii="Calibri" w:hAnsi="Calibri"/>
          <w:bCs/>
          <w:sz w:val="22"/>
          <w:szCs w:val="22"/>
        </w:rPr>
        <w:t> </w:t>
      </w:r>
      <w:r w:rsidRPr="00590752">
        <w:rPr>
          <w:rFonts w:ascii="Calibri" w:hAnsi="Calibri"/>
          <w:bCs/>
          <w:sz w:val="22"/>
          <w:szCs w:val="22"/>
        </w:rPr>
        <w:t>aspekcie niewielkiej liczby pracowników młodszych.</w:t>
      </w:r>
    </w:p>
    <w:p w14:paraId="495686E4" w14:textId="04BF6EF2" w:rsidR="002F2E55" w:rsidRPr="00590752" w:rsidRDefault="00791ADF" w:rsidP="008A1DC7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>Pracownicy niebędący nauczycielami akademickimi – pracownicy biblioteczni</w:t>
      </w:r>
    </w:p>
    <w:p w14:paraId="1781BA16" w14:textId="7D373682" w:rsidR="002F2E55" w:rsidRPr="00590752" w:rsidRDefault="00FA19C9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>Średni wiek: 51,4</w:t>
      </w:r>
      <w:r w:rsidR="00A571CE" w:rsidRPr="00590752">
        <w:rPr>
          <w:rFonts w:ascii="Calibri" w:hAnsi="Calibri"/>
          <w:bCs/>
        </w:rPr>
        <w:t xml:space="preserve"> lat, w tym: kobiety – 51,7</w:t>
      </w:r>
      <w:r w:rsidR="0061685E" w:rsidRPr="00590752">
        <w:rPr>
          <w:rFonts w:ascii="Calibri" w:hAnsi="Calibri"/>
          <w:bCs/>
        </w:rPr>
        <w:t xml:space="preserve"> lat (udział 98%); mężczyźni – 37 lat (udział 2</w:t>
      </w:r>
      <w:r w:rsidR="002F2E55" w:rsidRPr="00590752">
        <w:rPr>
          <w:rFonts w:ascii="Calibri" w:hAnsi="Calibri"/>
          <w:bCs/>
        </w:rPr>
        <w:t>%)</w:t>
      </w:r>
    </w:p>
    <w:p w14:paraId="66CCAEFD" w14:textId="73A83548" w:rsidR="002F2E55" w:rsidRDefault="00DB6CC6" w:rsidP="002F2E55">
      <w:pPr>
        <w:jc w:val="both"/>
      </w:pPr>
      <w:r>
        <w:rPr>
          <w:noProof/>
        </w:rPr>
        <w:drawing>
          <wp:inline distT="0" distB="0" distL="0" distR="0" wp14:anchorId="1711128E" wp14:editId="392A8C66">
            <wp:extent cx="5486400" cy="3240000"/>
            <wp:effectExtent l="0" t="0" r="0" b="1778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590752" w:rsidRPr="00590752" w14:paraId="05254342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BBD095" w14:textId="2161900A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DC71D" w14:textId="3C5BA54E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C54FD" w14:textId="3C765F18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590752" w:rsidRPr="00590752" w14:paraId="1DEFB3C6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91EA2F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1D12F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2D62F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1121BFC4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D07F96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B4A00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2B7C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5635A219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66D96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6F3DA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5BC4D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752" w:rsidRPr="00590752" w14:paraId="40EB92FC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887E6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27533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6D58E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570D913C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72A4B1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4D74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42C8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0B4B244C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89823D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63707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9CB5A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75B0BE3C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C40F6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516E7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C673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23D327A6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7EFD69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C5120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12A5D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3F952088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A4DA80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F607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50B73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54FB795C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0DCE82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8278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1E2EC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57E99F63" w14:textId="58C44C7C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>W grupie pracowników bibliotecznych znajduje się zaledwie jeden mężczyzna. Grupa ta jest zrównoważona pod względem wieku, co można uznać za zjawisko korzystne w dalszej perspektywie.</w:t>
      </w:r>
    </w:p>
    <w:p w14:paraId="432D42D6" w14:textId="794632A8" w:rsidR="002F2E55" w:rsidRPr="00590752" w:rsidRDefault="00791ADF" w:rsidP="008A1DC7">
      <w:pPr>
        <w:pageBreakBefore/>
        <w:spacing w:before="60" w:line="360" w:lineRule="auto"/>
        <w:rPr>
          <w:rFonts w:ascii="Calibri" w:hAnsi="Calibri"/>
          <w:b/>
          <w:smallCaps/>
          <w:sz w:val="22"/>
          <w:szCs w:val="22"/>
        </w:rPr>
      </w:pPr>
      <w:r w:rsidRPr="00590752">
        <w:rPr>
          <w:rFonts w:ascii="Calibri" w:hAnsi="Calibri"/>
          <w:b/>
          <w:sz w:val="22"/>
          <w:szCs w:val="22"/>
        </w:rPr>
        <w:lastRenderedPageBreak/>
        <w:t xml:space="preserve">Pracownicy niebędący nauczycielami akademickimi </w:t>
      </w:r>
      <w:r w:rsidRPr="00590752">
        <w:rPr>
          <w:rFonts w:ascii="Calibri" w:hAnsi="Calibri"/>
          <w:b/>
          <w:sz w:val="22"/>
          <w:szCs w:val="22"/>
        </w:rPr>
        <w:softHyphen/>
        <w:t xml:space="preserve"> robotn</w:t>
      </w:r>
      <w:r w:rsidR="002F2E55" w:rsidRPr="00590752">
        <w:rPr>
          <w:rFonts w:ascii="Calibri" w:hAnsi="Calibri"/>
          <w:b/>
          <w:sz w:val="22"/>
          <w:szCs w:val="22"/>
        </w:rPr>
        <w:t>icy</w:t>
      </w:r>
    </w:p>
    <w:p w14:paraId="3A69D10D" w14:textId="17B825A0" w:rsidR="002F2E55" w:rsidRPr="00590752" w:rsidRDefault="006D7696" w:rsidP="00590752">
      <w:pPr>
        <w:spacing w:before="60" w:line="360" w:lineRule="auto"/>
        <w:rPr>
          <w:rFonts w:ascii="Calibri" w:hAnsi="Calibri"/>
          <w:b/>
          <w:bCs/>
          <w:smallCaps/>
        </w:rPr>
      </w:pPr>
      <w:r w:rsidRPr="00590752">
        <w:rPr>
          <w:rFonts w:ascii="Calibri" w:hAnsi="Calibri"/>
          <w:bCs/>
        </w:rPr>
        <w:t xml:space="preserve">Średni wiek: 59,1 </w:t>
      </w:r>
      <w:r w:rsidR="002F2E55" w:rsidRPr="00590752">
        <w:rPr>
          <w:rFonts w:ascii="Calibri" w:hAnsi="Calibri"/>
          <w:bCs/>
        </w:rPr>
        <w:t>lat</w:t>
      </w:r>
    </w:p>
    <w:p w14:paraId="0885BA3D" w14:textId="7EEC7795" w:rsidR="002F2E55" w:rsidRDefault="00DB6CC6" w:rsidP="002F2E55">
      <w:pPr>
        <w:jc w:val="both"/>
      </w:pPr>
      <w:r>
        <w:rPr>
          <w:noProof/>
        </w:rPr>
        <w:drawing>
          <wp:inline distT="0" distB="0" distL="0" distR="0" wp14:anchorId="50B479E7" wp14:editId="479DED52">
            <wp:extent cx="5486400" cy="3240000"/>
            <wp:effectExtent l="0" t="0" r="0" b="1778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89"/>
      </w:tblGrid>
      <w:tr w:rsidR="00590752" w:rsidRPr="00590752" w14:paraId="43596048" w14:textId="77777777" w:rsidTr="00590752">
        <w:trPr>
          <w:trHeight w:val="288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7C07C" w14:textId="3A3F0A12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A617FA">
              <w:rPr>
                <w:rFonts w:ascii="Calibri" w:hAnsi="Calibri" w:cs="Calibri"/>
                <w:b/>
                <w:bCs/>
                <w:color w:val="000000"/>
              </w:rPr>
              <w:t>Przedział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03B19" w14:textId="7B550E5A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obiety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8170F" w14:textId="76C7228A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E3785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A617FA">
              <w:rPr>
                <w:rFonts w:ascii="Calibri" w:hAnsi="Calibri" w:cs="Calibri"/>
                <w:b/>
                <w:bCs/>
                <w:color w:val="000000"/>
              </w:rPr>
              <w:t>ężczyźni</w:t>
            </w:r>
          </w:p>
        </w:tc>
      </w:tr>
      <w:tr w:rsidR="00590752" w:rsidRPr="00590752" w14:paraId="4EA565AA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F8F15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10C2A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CAAE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44E28250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3A0D5D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31-35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F841F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C8336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23C7CD1D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AE0CC8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36-40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D26B3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29D43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3ED26153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1486BC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41-45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1B2CB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4B6B7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6A938CE2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EC74A3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46-50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34FA2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2B917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784B745B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9098BD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51-55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04DF1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B1B19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752" w:rsidRPr="00590752" w14:paraId="7E1292B7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BC504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56-60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1EAF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FEEA1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90752" w:rsidRPr="00590752" w14:paraId="5DBC5F89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937CD4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61-65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89EB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DBA2F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90752" w:rsidRPr="00590752" w14:paraId="29430E9D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A9E908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66-70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D9EB6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E9EE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0752" w:rsidRPr="00590752" w14:paraId="6208ECAA" w14:textId="77777777" w:rsidTr="00590752">
        <w:trPr>
          <w:trHeight w:val="288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9458D5" w14:textId="77777777" w:rsidR="00590752" w:rsidRPr="00590752" w:rsidRDefault="00590752" w:rsidP="0059075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&gt;70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094E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D6498" w14:textId="77777777" w:rsidR="00590752" w:rsidRPr="00590752" w:rsidRDefault="00590752" w:rsidP="0059075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 w:rsidRPr="00590752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EABABDF" w14:textId="496D95DD" w:rsidR="002F2E55" w:rsidRPr="00590752" w:rsidRDefault="002F2E55" w:rsidP="00590752">
      <w:pPr>
        <w:spacing w:before="60" w:line="360" w:lineRule="auto"/>
        <w:rPr>
          <w:rFonts w:ascii="Calibri" w:hAnsi="Calibri"/>
          <w:b/>
          <w:bCs/>
          <w:smallCaps/>
          <w:sz w:val="22"/>
          <w:szCs w:val="22"/>
        </w:rPr>
      </w:pPr>
      <w:r w:rsidRPr="00590752">
        <w:rPr>
          <w:rFonts w:ascii="Calibri" w:hAnsi="Calibri"/>
          <w:bCs/>
          <w:sz w:val="22"/>
          <w:szCs w:val="22"/>
        </w:rPr>
        <w:t>Pracownicy na stanowiskach robotniczych to wyłącznie mężczyźni, co wynika z charakteru wykonywanej pracy. Poważnym zagrożeniem jest całkowity brak pracowników poniżej 50. roku życia, co w perspektywie kilkunastu lat może stanowić poważny problem, gdyby pozyskiwanie pracowników na rynku pracy okazało się problematyczne. Celowe wydaje się podjęcie działań wyprzedzających w okresie najbliższych kilku lat.</w:t>
      </w:r>
      <w:bookmarkEnd w:id="1"/>
    </w:p>
    <w:sectPr w:rsidR="002F2E55" w:rsidRPr="00590752" w:rsidSect="00317094">
      <w:footerReference w:type="default" r:id="rId28"/>
      <w:footerReference w:type="first" r:id="rId29"/>
      <w:pgSz w:w="11906" w:h="16838"/>
      <w:pgMar w:top="851" w:right="851" w:bottom="567" w:left="141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847" w14:textId="77777777" w:rsidR="00F76F72" w:rsidRDefault="00F76F72" w:rsidP="005E2290">
      <w:r>
        <w:separator/>
      </w:r>
    </w:p>
  </w:endnote>
  <w:endnote w:type="continuationSeparator" w:id="0">
    <w:p w14:paraId="0EB91F7A" w14:textId="77777777" w:rsidR="00F76F72" w:rsidRDefault="00F76F72" w:rsidP="005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930F" w14:textId="77777777" w:rsidR="00624662" w:rsidRDefault="00624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81182"/>
      <w:docPartObj>
        <w:docPartGallery w:val="Page Numbers (Bottom of Page)"/>
        <w:docPartUnique/>
      </w:docPartObj>
    </w:sdtPr>
    <w:sdtEndPr/>
    <w:sdtContent>
      <w:p w14:paraId="17DA4455" w14:textId="0B8B6A08" w:rsidR="004B38EB" w:rsidRDefault="0004040C" w:rsidP="004B38EB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B5A3" w14:textId="77777777" w:rsidR="00624662" w:rsidRDefault="006246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444295"/>
      <w:docPartObj>
        <w:docPartGallery w:val="Page Numbers (Bottom of Page)"/>
        <w:docPartUnique/>
      </w:docPartObj>
    </w:sdtPr>
    <w:sdtEndPr/>
    <w:sdtContent>
      <w:p w14:paraId="20738A40" w14:textId="77777777" w:rsidR="004B38EB" w:rsidRDefault="004B38EB" w:rsidP="004B3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98924"/>
      <w:docPartObj>
        <w:docPartGallery w:val="Page Numbers (Bottom of Page)"/>
        <w:docPartUnique/>
      </w:docPartObj>
    </w:sdtPr>
    <w:sdtEndPr/>
    <w:sdtContent>
      <w:p w14:paraId="028F8DB4" w14:textId="5BB181C8" w:rsidR="004B38EB" w:rsidRDefault="004B3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55214" w14:textId="77777777" w:rsidR="004B38EB" w:rsidRDefault="004B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FDF" w14:textId="77777777" w:rsidR="00F76F72" w:rsidRDefault="00F76F72" w:rsidP="005E2290">
      <w:r>
        <w:separator/>
      </w:r>
    </w:p>
  </w:footnote>
  <w:footnote w:type="continuationSeparator" w:id="0">
    <w:p w14:paraId="66781306" w14:textId="77777777" w:rsidR="00F76F72" w:rsidRDefault="00F76F72" w:rsidP="005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2A1C" w14:textId="77777777" w:rsidR="00624662" w:rsidRDefault="00624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C34" w14:textId="77777777" w:rsidR="00624662" w:rsidRDefault="006246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31F" w14:textId="77777777" w:rsidR="00624662" w:rsidRDefault="00624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06E"/>
    <w:multiLevelType w:val="hybridMultilevel"/>
    <w:tmpl w:val="36025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11EE"/>
    <w:multiLevelType w:val="hybridMultilevel"/>
    <w:tmpl w:val="F4C02E8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B456A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5D06"/>
    <w:multiLevelType w:val="multilevel"/>
    <w:tmpl w:val="CCEA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B7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FB4FD7"/>
    <w:multiLevelType w:val="multilevel"/>
    <w:tmpl w:val="02D4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680" w:hanging="340"/>
      </w:pPr>
      <w:rPr>
        <w:rFonts w:hint="default"/>
        <w:b/>
        <w:bCs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072137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3C7D"/>
    <w:multiLevelType w:val="hybridMultilevel"/>
    <w:tmpl w:val="7D70A6E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73"/>
    <w:multiLevelType w:val="multilevel"/>
    <w:tmpl w:val="10722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A6687"/>
    <w:multiLevelType w:val="hybridMultilevel"/>
    <w:tmpl w:val="2468EB32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43DD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30CF"/>
    <w:multiLevelType w:val="multilevel"/>
    <w:tmpl w:val="3A7E5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4276C"/>
    <w:multiLevelType w:val="hybridMultilevel"/>
    <w:tmpl w:val="294E1B7E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07404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53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667F9"/>
    <w:multiLevelType w:val="hybridMultilevel"/>
    <w:tmpl w:val="F32EC6EC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6B45"/>
    <w:multiLevelType w:val="multilevel"/>
    <w:tmpl w:val="B6A20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4C5D78"/>
    <w:multiLevelType w:val="multilevel"/>
    <w:tmpl w:val="CDEC5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6032938"/>
    <w:multiLevelType w:val="multilevel"/>
    <w:tmpl w:val="0415001F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41E25"/>
    <w:multiLevelType w:val="hybridMultilevel"/>
    <w:tmpl w:val="F6002628"/>
    <w:lvl w:ilvl="0" w:tplc="734A536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FA65998"/>
    <w:multiLevelType w:val="multilevel"/>
    <w:tmpl w:val="882A3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223C75"/>
    <w:multiLevelType w:val="hybridMultilevel"/>
    <w:tmpl w:val="E5E64DD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2DF3"/>
    <w:multiLevelType w:val="hybridMultilevel"/>
    <w:tmpl w:val="FC840E0A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45A63"/>
    <w:multiLevelType w:val="hybridMultilevel"/>
    <w:tmpl w:val="439AC60A"/>
    <w:lvl w:ilvl="0" w:tplc="73166DF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04F0AE4"/>
    <w:multiLevelType w:val="multilevel"/>
    <w:tmpl w:val="3820B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8807D7"/>
    <w:multiLevelType w:val="hybridMultilevel"/>
    <w:tmpl w:val="B42C747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096C0C"/>
    <w:multiLevelType w:val="hybridMultilevel"/>
    <w:tmpl w:val="987A24E6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4EFF"/>
    <w:multiLevelType w:val="hybridMultilevel"/>
    <w:tmpl w:val="C290A3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995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3D70A9"/>
    <w:multiLevelType w:val="multilevel"/>
    <w:tmpl w:val="C044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DC13C1"/>
    <w:multiLevelType w:val="hybridMultilevel"/>
    <w:tmpl w:val="F6DABB14"/>
    <w:lvl w:ilvl="0" w:tplc="D4C63504">
      <w:start w:val="1"/>
      <w:numFmt w:val="decimal"/>
      <w:lvlText w:val="%1)"/>
      <w:lvlJc w:val="left"/>
      <w:pPr>
        <w:ind w:left="4613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130679662">
    <w:abstractNumId w:val="14"/>
  </w:num>
  <w:num w:numId="2" w16cid:durableId="254677807">
    <w:abstractNumId w:val="0"/>
  </w:num>
  <w:num w:numId="3" w16cid:durableId="1183086263">
    <w:abstractNumId w:val="3"/>
  </w:num>
  <w:num w:numId="4" w16cid:durableId="1593585526">
    <w:abstractNumId w:val="11"/>
  </w:num>
  <w:num w:numId="5" w16cid:durableId="1677730800">
    <w:abstractNumId w:val="7"/>
  </w:num>
  <w:num w:numId="6" w16cid:durableId="1738549090">
    <w:abstractNumId w:val="6"/>
  </w:num>
  <w:num w:numId="7" w16cid:durableId="2064674931">
    <w:abstractNumId w:val="25"/>
  </w:num>
  <w:num w:numId="8" w16cid:durableId="533268395">
    <w:abstractNumId w:val="26"/>
  </w:num>
  <w:num w:numId="9" w16cid:durableId="1956060474">
    <w:abstractNumId w:val="28"/>
  </w:num>
  <w:num w:numId="10" w16cid:durableId="635570376">
    <w:abstractNumId w:val="20"/>
  </w:num>
  <w:num w:numId="11" w16cid:durableId="817770115">
    <w:abstractNumId w:val="10"/>
  </w:num>
  <w:num w:numId="12" w16cid:durableId="987782622">
    <w:abstractNumId w:val="31"/>
  </w:num>
  <w:num w:numId="13" w16cid:durableId="409347418">
    <w:abstractNumId w:val="22"/>
  </w:num>
  <w:num w:numId="14" w16cid:durableId="2037460456">
    <w:abstractNumId w:val="17"/>
  </w:num>
  <w:num w:numId="15" w16cid:durableId="1925843962">
    <w:abstractNumId w:val="24"/>
  </w:num>
  <w:num w:numId="16" w16cid:durableId="1395934675">
    <w:abstractNumId w:val="8"/>
  </w:num>
  <w:num w:numId="17" w16cid:durableId="85420886">
    <w:abstractNumId w:val="27"/>
  </w:num>
  <w:num w:numId="18" w16cid:durableId="1432622096">
    <w:abstractNumId w:val="1"/>
  </w:num>
  <w:num w:numId="19" w16cid:durableId="994648241">
    <w:abstractNumId w:val="23"/>
  </w:num>
  <w:num w:numId="20" w16cid:durableId="424620415">
    <w:abstractNumId w:val="13"/>
  </w:num>
  <w:num w:numId="21" w16cid:durableId="48765865">
    <w:abstractNumId w:val="16"/>
  </w:num>
  <w:num w:numId="22" w16cid:durableId="1329989374">
    <w:abstractNumId w:val="18"/>
  </w:num>
  <w:num w:numId="23" w16cid:durableId="1028876120">
    <w:abstractNumId w:val="2"/>
  </w:num>
  <w:num w:numId="24" w16cid:durableId="1639147459">
    <w:abstractNumId w:val="4"/>
  </w:num>
  <w:num w:numId="25" w16cid:durableId="1402295241">
    <w:abstractNumId w:val="29"/>
  </w:num>
  <w:num w:numId="26" w16cid:durableId="514610916">
    <w:abstractNumId w:val="21"/>
  </w:num>
  <w:num w:numId="27" w16cid:durableId="71127855">
    <w:abstractNumId w:val="30"/>
  </w:num>
  <w:num w:numId="28" w16cid:durableId="1542395783">
    <w:abstractNumId w:val="12"/>
  </w:num>
  <w:num w:numId="29" w16cid:durableId="1396513869">
    <w:abstractNumId w:val="19"/>
  </w:num>
  <w:num w:numId="30" w16cid:durableId="1570843031">
    <w:abstractNumId w:val="15"/>
  </w:num>
  <w:num w:numId="31" w16cid:durableId="741173410">
    <w:abstractNumId w:val="9"/>
  </w:num>
  <w:num w:numId="32" w16cid:durableId="38025198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13D32"/>
    <w:rsid w:val="00025EB4"/>
    <w:rsid w:val="0004040C"/>
    <w:rsid w:val="00050F69"/>
    <w:rsid w:val="000577C7"/>
    <w:rsid w:val="00064C6F"/>
    <w:rsid w:val="00065387"/>
    <w:rsid w:val="00074942"/>
    <w:rsid w:val="0008623F"/>
    <w:rsid w:val="00087B2E"/>
    <w:rsid w:val="00094BAD"/>
    <w:rsid w:val="000A7A08"/>
    <w:rsid w:val="000B2573"/>
    <w:rsid w:val="000B259A"/>
    <w:rsid w:val="000B3493"/>
    <w:rsid w:val="000B4B42"/>
    <w:rsid w:val="000B71FE"/>
    <w:rsid w:val="000C5D3C"/>
    <w:rsid w:val="000C6A14"/>
    <w:rsid w:val="000C7193"/>
    <w:rsid w:val="000C7B96"/>
    <w:rsid w:val="000D0B49"/>
    <w:rsid w:val="000E520B"/>
    <w:rsid w:val="001024F3"/>
    <w:rsid w:val="0010424F"/>
    <w:rsid w:val="00111D76"/>
    <w:rsid w:val="00122D09"/>
    <w:rsid w:val="00126D0E"/>
    <w:rsid w:val="00131A7A"/>
    <w:rsid w:val="00131D0E"/>
    <w:rsid w:val="0013724E"/>
    <w:rsid w:val="0014150E"/>
    <w:rsid w:val="00142BE5"/>
    <w:rsid w:val="00142E22"/>
    <w:rsid w:val="00144F86"/>
    <w:rsid w:val="00182DF2"/>
    <w:rsid w:val="00187468"/>
    <w:rsid w:val="00193FE1"/>
    <w:rsid w:val="001A3293"/>
    <w:rsid w:val="001A656C"/>
    <w:rsid w:val="001B17EF"/>
    <w:rsid w:val="001C4FDE"/>
    <w:rsid w:val="001D2A05"/>
    <w:rsid w:val="001D3A39"/>
    <w:rsid w:val="001E5443"/>
    <w:rsid w:val="001F16A7"/>
    <w:rsid w:val="001F369E"/>
    <w:rsid w:val="00202E4C"/>
    <w:rsid w:val="002352EE"/>
    <w:rsid w:val="00243DDA"/>
    <w:rsid w:val="00246F66"/>
    <w:rsid w:val="0024781C"/>
    <w:rsid w:val="00260E15"/>
    <w:rsid w:val="0027546C"/>
    <w:rsid w:val="002767B8"/>
    <w:rsid w:val="00276B86"/>
    <w:rsid w:val="00277B8B"/>
    <w:rsid w:val="00284418"/>
    <w:rsid w:val="0029714D"/>
    <w:rsid w:val="002A1BFB"/>
    <w:rsid w:val="002A3FD0"/>
    <w:rsid w:val="002D233B"/>
    <w:rsid w:val="002E476A"/>
    <w:rsid w:val="002E5684"/>
    <w:rsid w:val="002F2E55"/>
    <w:rsid w:val="002F2F07"/>
    <w:rsid w:val="002F798B"/>
    <w:rsid w:val="00307842"/>
    <w:rsid w:val="003102B9"/>
    <w:rsid w:val="00314D76"/>
    <w:rsid w:val="00317094"/>
    <w:rsid w:val="003245F5"/>
    <w:rsid w:val="0032580F"/>
    <w:rsid w:val="003320DF"/>
    <w:rsid w:val="00332E05"/>
    <w:rsid w:val="0035507C"/>
    <w:rsid w:val="00367593"/>
    <w:rsid w:val="00384F5F"/>
    <w:rsid w:val="00386B01"/>
    <w:rsid w:val="003A7CE2"/>
    <w:rsid w:val="003B34AA"/>
    <w:rsid w:val="003C08A3"/>
    <w:rsid w:val="003C4F11"/>
    <w:rsid w:val="003D68BD"/>
    <w:rsid w:val="003E0BB1"/>
    <w:rsid w:val="003E562F"/>
    <w:rsid w:val="003F28B1"/>
    <w:rsid w:val="00414474"/>
    <w:rsid w:val="00416ABD"/>
    <w:rsid w:val="00421284"/>
    <w:rsid w:val="00434CF7"/>
    <w:rsid w:val="004373E3"/>
    <w:rsid w:val="004443D7"/>
    <w:rsid w:val="004502BD"/>
    <w:rsid w:val="00455365"/>
    <w:rsid w:val="0047316C"/>
    <w:rsid w:val="00473D76"/>
    <w:rsid w:val="00473E5F"/>
    <w:rsid w:val="004807B3"/>
    <w:rsid w:val="00485081"/>
    <w:rsid w:val="00493E59"/>
    <w:rsid w:val="0049793A"/>
    <w:rsid w:val="004B38EB"/>
    <w:rsid w:val="004C0BC6"/>
    <w:rsid w:val="004C3B90"/>
    <w:rsid w:val="004C5DD0"/>
    <w:rsid w:val="004E023F"/>
    <w:rsid w:val="004E0982"/>
    <w:rsid w:val="004F7F9B"/>
    <w:rsid w:val="00505433"/>
    <w:rsid w:val="00505EAA"/>
    <w:rsid w:val="005108F3"/>
    <w:rsid w:val="00511C12"/>
    <w:rsid w:val="00513C15"/>
    <w:rsid w:val="0051491D"/>
    <w:rsid w:val="00514CF0"/>
    <w:rsid w:val="005241CE"/>
    <w:rsid w:val="005253E2"/>
    <w:rsid w:val="00526C99"/>
    <w:rsid w:val="00531883"/>
    <w:rsid w:val="0053355C"/>
    <w:rsid w:val="005340DE"/>
    <w:rsid w:val="00550F5B"/>
    <w:rsid w:val="005518DC"/>
    <w:rsid w:val="005556CA"/>
    <w:rsid w:val="00564B7E"/>
    <w:rsid w:val="00567DAD"/>
    <w:rsid w:val="0058540D"/>
    <w:rsid w:val="00590752"/>
    <w:rsid w:val="00591D39"/>
    <w:rsid w:val="00595CBE"/>
    <w:rsid w:val="005B08D1"/>
    <w:rsid w:val="005C1E50"/>
    <w:rsid w:val="005E0940"/>
    <w:rsid w:val="005E2290"/>
    <w:rsid w:val="005E3785"/>
    <w:rsid w:val="005E553C"/>
    <w:rsid w:val="005E714C"/>
    <w:rsid w:val="00610849"/>
    <w:rsid w:val="00615668"/>
    <w:rsid w:val="0061685E"/>
    <w:rsid w:val="00624662"/>
    <w:rsid w:val="0062521F"/>
    <w:rsid w:val="006253E9"/>
    <w:rsid w:val="00635F6D"/>
    <w:rsid w:val="00644316"/>
    <w:rsid w:val="00645439"/>
    <w:rsid w:val="006520BE"/>
    <w:rsid w:val="006562D9"/>
    <w:rsid w:val="00661765"/>
    <w:rsid w:val="00664139"/>
    <w:rsid w:val="006669B3"/>
    <w:rsid w:val="0067388F"/>
    <w:rsid w:val="00690D79"/>
    <w:rsid w:val="00695635"/>
    <w:rsid w:val="00695A83"/>
    <w:rsid w:val="00696961"/>
    <w:rsid w:val="006A1B72"/>
    <w:rsid w:val="006A436A"/>
    <w:rsid w:val="006B4C2C"/>
    <w:rsid w:val="006B73EA"/>
    <w:rsid w:val="006C769B"/>
    <w:rsid w:val="006D56F8"/>
    <w:rsid w:val="006D5F82"/>
    <w:rsid w:val="006D7696"/>
    <w:rsid w:val="006E3997"/>
    <w:rsid w:val="006E3F73"/>
    <w:rsid w:val="006E45DF"/>
    <w:rsid w:val="006E57C1"/>
    <w:rsid w:val="00704DAA"/>
    <w:rsid w:val="007119DD"/>
    <w:rsid w:val="00721B85"/>
    <w:rsid w:val="007229A5"/>
    <w:rsid w:val="00737420"/>
    <w:rsid w:val="00754C1E"/>
    <w:rsid w:val="0075524E"/>
    <w:rsid w:val="00762AB5"/>
    <w:rsid w:val="007765CD"/>
    <w:rsid w:val="00782E96"/>
    <w:rsid w:val="00791ADF"/>
    <w:rsid w:val="007929C8"/>
    <w:rsid w:val="00793B17"/>
    <w:rsid w:val="00796AD7"/>
    <w:rsid w:val="007A2191"/>
    <w:rsid w:val="007C05EF"/>
    <w:rsid w:val="007C1D50"/>
    <w:rsid w:val="007C1EB9"/>
    <w:rsid w:val="007C45A3"/>
    <w:rsid w:val="007E129D"/>
    <w:rsid w:val="007E62A5"/>
    <w:rsid w:val="00800C50"/>
    <w:rsid w:val="00812C9B"/>
    <w:rsid w:val="00814B1E"/>
    <w:rsid w:val="0083498E"/>
    <w:rsid w:val="00843834"/>
    <w:rsid w:val="008527FB"/>
    <w:rsid w:val="00862810"/>
    <w:rsid w:val="00871F28"/>
    <w:rsid w:val="0087359F"/>
    <w:rsid w:val="0087742F"/>
    <w:rsid w:val="008825FF"/>
    <w:rsid w:val="008827AE"/>
    <w:rsid w:val="00882C2F"/>
    <w:rsid w:val="008A125F"/>
    <w:rsid w:val="008A1DC7"/>
    <w:rsid w:val="008A5B84"/>
    <w:rsid w:val="008B229B"/>
    <w:rsid w:val="008B34EF"/>
    <w:rsid w:val="008C0B54"/>
    <w:rsid w:val="008C5D02"/>
    <w:rsid w:val="008C6CD1"/>
    <w:rsid w:val="008D02A3"/>
    <w:rsid w:val="008D4E1E"/>
    <w:rsid w:val="00917D44"/>
    <w:rsid w:val="0093139A"/>
    <w:rsid w:val="00931B14"/>
    <w:rsid w:val="00931E4B"/>
    <w:rsid w:val="00974964"/>
    <w:rsid w:val="00977D1B"/>
    <w:rsid w:val="00991739"/>
    <w:rsid w:val="009918A8"/>
    <w:rsid w:val="00995625"/>
    <w:rsid w:val="009A758B"/>
    <w:rsid w:val="009B2DC3"/>
    <w:rsid w:val="009B4A5E"/>
    <w:rsid w:val="009C3A8B"/>
    <w:rsid w:val="009C5C38"/>
    <w:rsid w:val="009C7BE5"/>
    <w:rsid w:val="009D2BEC"/>
    <w:rsid w:val="009E2513"/>
    <w:rsid w:val="009E418C"/>
    <w:rsid w:val="009F19C1"/>
    <w:rsid w:val="009F1D6B"/>
    <w:rsid w:val="00A04664"/>
    <w:rsid w:val="00A101D1"/>
    <w:rsid w:val="00A136A9"/>
    <w:rsid w:val="00A2272E"/>
    <w:rsid w:val="00A26DD1"/>
    <w:rsid w:val="00A35E90"/>
    <w:rsid w:val="00A5232D"/>
    <w:rsid w:val="00A52DAD"/>
    <w:rsid w:val="00A534B6"/>
    <w:rsid w:val="00A554D3"/>
    <w:rsid w:val="00A571CE"/>
    <w:rsid w:val="00A617FA"/>
    <w:rsid w:val="00A640B6"/>
    <w:rsid w:val="00A64C6B"/>
    <w:rsid w:val="00A67A6D"/>
    <w:rsid w:val="00A71407"/>
    <w:rsid w:val="00A72911"/>
    <w:rsid w:val="00A77D5D"/>
    <w:rsid w:val="00A902F1"/>
    <w:rsid w:val="00A91623"/>
    <w:rsid w:val="00A926CC"/>
    <w:rsid w:val="00A92F40"/>
    <w:rsid w:val="00AA4649"/>
    <w:rsid w:val="00AA7AEB"/>
    <w:rsid w:val="00AB1ECF"/>
    <w:rsid w:val="00AB3E52"/>
    <w:rsid w:val="00AB6671"/>
    <w:rsid w:val="00AC14F1"/>
    <w:rsid w:val="00AC4471"/>
    <w:rsid w:val="00AC5800"/>
    <w:rsid w:val="00AC653B"/>
    <w:rsid w:val="00AE5ACA"/>
    <w:rsid w:val="00AF2827"/>
    <w:rsid w:val="00B03B67"/>
    <w:rsid w:val="00B05F51"/>
    <w:rsid w:val="00B11544"/>
    <w:rsid w:val="00B2052D"/>
    <w:rsid w:val="00B30226"/>
    <w:rsid w:val="00B33567"/>
    <w:rsid w:val="00B34D4F"/>
    <w:rsid w:val="00B409C9"/>
    <w:rsid w:val="00B5145C"/>
    <w:rsid w:val="00B55995"/>
    <w:rsid w:val="00B62BE9"/>
    <w:rsid w:val="00B7424F"/>
    <w:rsid w:val="00B742ED"/>
    <w:rsid w:val="00B74653"/>
    <w:rsid w:val="00B873D7"/>
    <w:rsid w:val="00B91CD8"/>
    <w:rsid w:val="00BB0E70"/>
    <w:rsid w:val="00BC17BD"/>
    <w:rsid w:val="00BC6991"/>
    <w:rsid w:val="00BD4CDF"/>
    <w:rsid w:val="00BD6D9C"/>
    <w:rsid w:val="00BE511E"/>
    <w:rsid w:val="00BF09D5"/>
    <w:rsid w:val="00BF22C7"/>
    <w:rsid w:val="00BF4355"/>
    <w:rsid w:val="00C0441E"/>
    <w:rsid w:val="00C04923"/>
    <w:rsid w:val="00C04D3B"/>
    <w:rsid w:val="00C064BC"/>
    <w:rsid w:val="00C102FE"/>
    <w:rsid w:val="00C147CE"/>
    <w:rsid w:val="00C14D17"/>
    <w:rsid w:val="00C14E15"/>
    <w:rsid w:val="00C1709A"/>
    <w:rsid w:val="00C27040"/>
    <w:rsid w:val="00C27E3E"/>
    <w:rsid w:val="00C35894"/>
    <w:rsid w:val="00C46DDE"/>
    <w:rsid w:val="00C7494B"/>
    <w:rsid w:val="00C771E9"/>
    <w:rsid w:val="00C85A81"/>
    <w:rsid w:val="00C85D74"/>
    <w:rsid w:val="00C92384"/>
    <w:rsid w:val="00C963BC"/>
    <w:rsid w:val="00CA3D8A"/>
    <w:rsid w:val="00CA53A2"/>
    <w:rsid w:val="00CA58DB"/>
    <w:rsid w:val="00CA6411"/>
    <w:rsid w:val="00CC156A"/>
    <w:rsid w:val="00CC6334"/>
    <w:rsid w:val="00CE27B2"/>
    <w:rsid w:val="00CE356C"/>
    <w:rsid w:val="00D0540C"/>
    <w:rsid w:val="00D1440E"/>
    <w:rsid w:val="00D23AFE"/>
    <w:rsid w:val="00D26BCA"/>
    <w:rsid w:val="00D27381"/>
    <w:rsid w:val="00D274A1"/>
    <w:rsid w:val="00D33075"/>
    <w:rsid w:val="00D34428"/>
    <w:rsid w:val="00D34904"/>
    <w:rsid w:val="00D37A9B"/>
    <w:rsid w:val="00D503DE"/>
    <w:rsid w:val="00D50536"/>
    <w:rsid w:val="00D60AB9"/>
    <w:rsid w:val="00D60E79"/>
    <w:rsid w:val="00D7534D"/>
    <w:rsid w:val="00D75F5C"/>
    <w:rsid w:val="00D91431"/>
    <w:rsid w:val="00D91B8B"/>
    <w:rsid w:val="00DB0299"/>
    <w:rsid w:val="00DB0C27"/>
    <w:rsid w:val="00DB5A2E"/>
    <w:rsid w:val="00DB6CC6"/>
    <w:rsid w:val="00DB7D8A"/>
    <w:rsid w:val="00DC1BC4"/>
    <w:rsid w:val="00DD30B5"/>
    <w:rsid w:val="00DD5FE3"/>
    <w:rsid w:val="00DD6F41"/>
    <w:rsid w:val="00DE2934"/>
    <w:rsid w:val="00DE3336"/>
    <w:rsid w:val="00DE38CD"/>
    <w:rsid w:val="00DE6DBE"/>
    <w:rsid w:val="00DE7B39"/>
    <w:rsid w:val="00DF0355"/>
    <w:rsid w:val="00E10C6E"/>
    <w:rsid w:val="00E21A16"/>
    <w:rsid w:val="00E524F1"/>
    <w:rsid w:val="00E528E1"/>
    <w:rsid w:val="00E535B2"/>
    <w:rsid w:val="00E5681B"/>
    <w:rsid w:val="00E75CDE"/>
    <w:rsid w:val="00E7642B"/>
    <w:rsid w:val="00E859EB"/>
    <w:rsid w:val="00E87834"/>
    <w:rsid w:val="00E93ABC"/>
    <w:rsid w:val="00E96658"/>
    <w:rsid w:val="00EA2439"/>
    <w:rsid w:val="00EA505B"/>
    <w:rsid w:val="00EB2C9E"/>
    <w:rsid w:val="00EB39A0"/>
    <w:rsid w:val="00EB3E5C"/>
    <w:rsid w:val="00EC533A"/>
    <w:rsid w:val="00EC6C94"/>
    <w:rsid w:val="00ED061C"/>
    <w:rsid w:val="00ED0ED1"/>
    <w:rsid w:val="00ED41DA"/>
    <w:rsid w:val="00ED7719"/>
    <w:rsid w:val="00EE1E97"/>
    <w:rsid w:val="00EE6DF6"/>
    <w:rsid w:val="00EF0069"/>
    <w:rsid w:val="00F0021B"/>
    <w:rsid w:val="00F045A5"/>
    <w:rsid w:val="00F077E1"/>
    <w:rsid w:val="00F12ED1"/>
    <w:rsid w:val="00F27818"/>
    <w:rsid w:val="00F3036B"/>
    <w:rsid w:val="00F319AE"/>
    <w:rsid w:val="00F41DA9"/>
    <w:rsid w:val="00F41E54"/>
    <w:rsid w:val="00F430A1"/>
    <w:rsid w:val="00F631F5"/>
    <w:rsid w:val="00F73B8C"/>
    <w:rsid w:val="00F749AA"/>
    <w:rsid w:val="00F74D7B"/>
    <w:rsid w:val="00F76F72"/>
    <w:rsid w:val="00F8005D"/>
    <w:rsid w:val="00F92C64"/>
    <w:rsid w:val="00FA19C9"/>
    <w:rsid w:val="00FB13CB"/>
    <w:rsid w:val="00FB30AE"/>
    <w:rsid w:val="00FB7013"/>
    <w:rsid w:val="00FC4FF1"/>
    <w:rsid w:val="00FD764E"/>
    <w:rsid w:val="00FE6BE8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159E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C99"/>
    <w:pPr>
      <w:suppressAutoHyphens/>
      <w:spacing w:line="360" w:lineRule="auto"/>
      <w:jc w:val="center"/>
      <w:outlineLvl w:val="0"/>
    </w:pPr>
    <w:rPr>
      <w:rFonts w:ascii="Calibri" w:hAnsi="Calibri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6C99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9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2A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8D02A3"/>
    <w:pPr>
      <w:spacing w:after="200"/>
      <w:jc w:val="both"/>
    </w:pPr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8D02A3"/>
  </w:style>
  <w:style w:type="paragraph" w:styleId="Tekstkomentarza">
    <w:name w:val="annotation text"/>
    <w:basedOn w:val="Normalny"/>
    <w:link w:val="TekstkomentarzaZnak1"/>
    <w:uiPriority w:val="99"/>
    <w:unhideWhenUsed/>
    <w:rsid w:val="008D02A3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D02A3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C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7381"/>
    <w:pPr>
      <w:spacing w:line="259" w:lineRule="auto"/>
      <w:outlineLvl w:val="9"/>
    </w:pPr>
    <w:rPr>
      <w:b w:val="0"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782E96"/>
    <w:pPr>
      <w:tabs>
        <w:tab w:val="left" w:pos="284"/>
        <w:tab w:val="right" w:leader="dot" w:pos="9627"/>
      </w:tabs>
      <w:spacing w:before="120" w:line="360" w:lineRule="auto"/>
      <w:ind w:left="113"/>
    </w:pPr>
    <w:rPr>
      <w:rFonts w:eastAsia="MS Mincho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D6D9C"/>
    <w:pPr>
      <w:tabs>
        <w:tab w:val="left" w:pos="567"/>
        <w:tab w:val="left" w:pos="1100"/>
        <w:tab w:val="right" w:leader="dot" w:pos="9627"/>
      </w:tabs>
      <w:spacing w:line="360" w:lineRule="auto"/>
      <w:ind w:left="709"/>
    </w:pPr>
  </w:style>
  <w:style w:type="paragraph" w:styleId="Spistreci2">
    <w:name w:val="toc 2"/>
    <w:basedOn w:val="Normalny"/>
    <w:next w:val="Normalny"/>
    <w:autoRedefine/>
    <w:uiPriority w:val="39"/>
    <w:unhideWhenUsed/>
    <w:rsid w:val="007119DD"/>
    <w:pPr>
      <w:tabs>
        <w:tab w:val="left" w:pos="709"/>
        <w:tab w:val="right" w:leader="dot" w:pos="9627"/>
      </w:tabs>
      <w:spacing w:line="360" w:lineRule="auto"/>
      <w:ind w:left="283"/>
    </w:pPr>
    <w:rPr>
      <w:rFonts w:eastAsia="MS Mincho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73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1D1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1D1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5995"/>
    <w:rPr>
      <w:rFonts w:asciiTheme="majorHAnsi" w:eastAsiaTheme="majorEastAsia" w:hAnsiTheme="majorHAnsi" w:cstheme="majorBidi"/>
      <w:b/>
      <w:smallCaps/>
      <w:color w:val="1F3763" w:themeColor="accent1" w:themeShade="7F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6A1B72"/>
    <w:pPr>
      <w:numPr>
        <w:numId w:val="29"/>
      </w:numPr>
    </w:pPr>
  </w:style>
  <w:style w:type="numbering" w:customStyle="1" w:styleId="Biecalista2">
    <w:name w:val="Bieżąca lista2"/>
    <w:uiPriority w:val="99"/>
    <w:rsid w:val="006A1B72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8A8"/>
    <w:rPr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918A8"/>
    <w:rPr>
      <w:rFonts w:ascii="Times New Roman" w:eastAsia="Times New Roman" w:hAnsi="Times New Roman" w:cs="Times New Roman"/>
      <w:b/>
      <w:bCs/>
      <w:smallCaps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642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6C99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590752"/>
    <w:pPr>
      <w:spacing w:before="120" w:line="360" w:lineRule="auto"/>
    </w:pPr>
    <w:rPr>
      <w:rFonts w:ascii="Calibri" w:hAnsi="Calibr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90752"/>
    <w:rPr>
      <w:rFonts w:ascii="Calibri" w:eastAsia="Times New Roman" w:hAnsi="Calibri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chart" Target="charts/chart5.xm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7</c:v>
                </c:pt>
                <c:pt idx="1">
                  <c:v>20</c:v>
                </c:pt>
                <c:pt idx="2">
                  <c:v>30</c:v>
                </c:pt>
                <c:pt idx="3">
                  <c:v>36</c:v>
                </c:pt>
                <c:pt idx="4">
                  <c:v>69</c:v>
                </c:pt>
                <c:pt idx="5">
                  <c:v>58</c:v>
                </c:pt>
                <c:pt idx="6">
                  <c:v>23</c:v>
                </c:pt>
                <c:pt idx="7">
                  <c:v>11</c:v>
                </c:pt>
                <c:pt idx="8">
                  <c:v>13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5-4788-81C1-A3541663B52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15-4788-81C1-A3541663B526}"/>
                </c:ext>
              </c:extLst>
            </c:dLbl>
            <c:dLbl>
              <c:idx val="5"/>
              <c:layout>
                <c:manualLayout>
                  <c:x val="1.388888888888880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15-4788-81C1-A3541663B5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15</c:v>
                </c:pt>
                <c:pt idx="1">
                  <c:v>31</c:v>
                </c:pt>
                <c:pt idx="2">
                  <c:v>39</c:v>
                </c:pt>
                <c:pt idx="3">
                  <c:v>56</c:v>
                </c:pt>
                <c:pt idx="4">
                  <c:v>62</c:v>
                </c:pt>
                <c:pt idx="5">
                  <c:v>44</c:v>
                </c:pt>
                <c:pt idx="6">
                  <c:v>31</c:v>
                </c:pt>
                <c:pt idx="7">
                  <c:v>22</c:v>
                </c:pt>
                <c:pt idx="8">
                  <c:v>27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5-4788-81C1-A3541663B5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gapDepth val="226"/>
        <c:shape val="box"/>
        <c:axId val="1940801808"/>
        <c:axId val="1940803472"/>
        <c:axId val="0"/>
      </c:bar3DChart>
      <c:catAx>
        <c:axId val="19408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0803472"/>
        <c:crosses val="autoZero"/>
        <c:auto val="1"/>
        <c:lblAlgn val="ctr"/>
        <c:lblOffset val="100"/>
        <c:noMultiLvlLbl val="0"/>
      </c:catAx>
      <c:valAx>
        <c:axId val="194080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080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4-4C1A-B203-62F8F13F31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A4-4C1A-B203-62F8F13F31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0124272"/>
        <c:axId val="2110134672"/>
        <c:axId val="0"/>
      </c:bar3DChart>
      <c:catAx>
        <c:axId val="211012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0134672"/>
        <c:crosses val="autoZero"/>
        <c:auto val="1"/>
        <c:lblAlgn val="ctr"/>
        <c:lblOffset val="100"/>
        <c:noMultiLvlLbl val="0"/>
      </c:catAx>
      <c:valAx>
        <c:axId val="21101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01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8.9757045675413039E-2"/>
          <c:w val="0.9190529308836396"/>
          <c:h val="0.731143300964930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15</c:v>
                </c:pt>
                <c:pt idx="5">
                  <c:v>17</c:v>
                </c:pt>
                <c:pt idx="6">
                  <c:v>10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E-49C9-94B3-A91A45C161D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B-4B8A-8B1F-E280640EE3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  <c:pt idx="4">
                  <c:v>20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0E-49C9-94B3-A91A45C16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180800"/>
        <c:axId val="2049181216"/>
        <c:axId val="0"/>
      </c:bar3DChart>
      <c:catAx>
        <c:axId val="20491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81216"/>
        <c:crosses val="autoZero"/>
        <c:auto val="1"/>
        <c:lblAlgn val="ctr"/>
        <c:lblOffset val="100"/>
        <c:noMultiLvlLbl val="0"/>
      </c:catAx>
      <c:valAx>
        <c:axId val="204918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8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535670020414115"/>
          <c:y val="0.90076378647317734"/>
          <c:w val="8.9286417322834641E-2"/>
          <c:h val="9.92362135268228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87-4DE7-80D2-7C39F8D3886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3C-476A-8512-85BF0964FA31}"/>
                </c:ext>
              </c:extLst>
            </c:dLbl>
            <c:dLbl>
              <c:idx val="3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3C-476A-8512-85BF0964F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87-4DE7-80D2-7C39F8D388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1-494B-B0E7-44D39F624B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18</c:v>
                </c:pt>
                <c:pt idx="3">
                  <c:v>14</c:v>
                </c:pt>
                <c:pt idx="4">
                  <c:v>13</c:v>
                </c:pt>
                <c:pt idx="5">
                  <c:v>11</c:v>
                </c:pt>
                <c:pt idx="6">
                  <c:v>7</c:v>
                </c:pt>
                <c:pt idx="7">
                  <c:v>13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31-494B-B0E7-44D39F624B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</c:v>
                </c:pt>
                <c:pt idx="1">
                  <c:v>21</c:v>
                </c:pt>
                <c:pt idx="2">
                  <c:v>45</c:v>
                </c:pt>
                <c:pt idx="3">
                  <c:v>69</c:v>
                </c:pt>
                <c:pt idx="4">
                  <c:v>71</c:v>
                </c:pt>
                <c:pt idx="5">
                  <c:v>50</c:v>
                </c:pt>
                <c:pt idx="6">
                  <c:v>33</c:v>
                </c:pt>
                <c:pt idx="7">
                  <c:v>22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1-41E5-BD45-16F0FCFC360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6.94444444444448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81-41E5-BD45-16F0FCFC3603}"/>
                </c:ext>
              </c:extLst>
            </c:dLbl>
            <c:dLbl>
              <c:idx val="4"/>
              <c:layout>
                <c:manualLayout>
                  <c:x val="1.3888888888888888E-2"/>
                  <c:y val="-1.45500964663085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81-41E5-BD45-16F0FCFC3603}"/>
                </c:ext>
              </c:extLst>
            </c:dLbl>
            <c:dLbl>
              <c:idx val="5"/>
              <c:layout>
                <c:manualLayout>
                  <c:x val="1.3888888888888805E-2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81-41E5-BD45-16F0FCFC36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81-41E5-BD45-16F0FCFC3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11</c:v>
                </c:pt>
                <c:pt idx="3">
                  <c:v>22</c:v>
                </c:pt>
                <c:pt idx="4">
                  <c:v>34</c:v>
                </c:pt>
                <c:pt idx="5">
                  <c:v>49</c:v>
                </c:pt>
                <c:pt idx="6">
                  <c:v>55</c:v>
                </c:pt>
                <c:pt idx="7">
                  <c:v>22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9-4401-AA47-35DE97E3748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99-4401-AA47-35DE97E37482}"/>
                </c:ext>
              </c:extLst>
            </c:dLbl>
            <c:dLbl>
              <c:idx val="4"/>
              <c:layout>
                <c:manualLayout>
                  <c:x val="9.2592592592592587E-3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99-4401-AA47-35DE97E37482}"/>
                </c:ext>
              </c:extLst>
            </c:dLbl>
            <c:dLbl>
              <c:idx val="5"/>
              <c:layout>
                <c:manualLayout>
                  <c:x val="1.15740740740739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99-4401-AA47-35DE97E37482}"/>
                </c:ext>
              </c:extLst>
            </c:dLbl>
            <c:dLbl>
              <c:idx val="6"/>
              <c:layout>
                <c:manualLayout>
                  <c:x val="6.9444444444444441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99-4401-AA47-35DE97E37482}"/>
                </c:ext>
              </c:extLst>
            </c:dLbl>
            <c:dLbl>
              <c:idx val="7"/>
              <c:layout>
                <c:manualLayout>
                  <c:x val="1.15740740740741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99-4401-AA47-35DE97E37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16</c:v>
                </c:pt>
                <c:pt idx="7">
                  <c:v>17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9-4401-AA47-35DE97E374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14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8-41DF-89EE-3A10218F451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F8-41DF-89EE-3A10218F45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9-4891-A962-480A97BC625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A9-4891-A962-480A97BC62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67FC0-9F86-4CF1-841C-D7EB8733B700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4" csCatId="accent1" phldr="1"/>
      <dgm:spPr/>
    </dgm:pt>
    <dgm:pt modelId="{CA663FE3-99A1-4A7E-9460-D558E0C64CC3}">
      <dgm:prSet phldrT="[Tekst]" custT="1"/>
      <dgm:spPr>
        <a:xfrm>
          <a:off x="78295" y="556025"/>
          <a:ext cx="1117457" cy="368253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 sz="1200" b="1">
              <a:latin typeface="Calibri" panose="020F0502020204030204"/>
              <a:ea typeface="+mn-ea"/>
              <a:cs typeface="+mn-cs"/>
            </a:rPr>
            <a:t>Misja i Wizja</a:t>
          </a:r>
        </a:p>
        <a:p>
          <a:pPr>
            <a:buNone/>
          </a:pPr>
          <a:r>
            <a:rPr lang="pl-PL" sz="1200" b="1">
              <a:latin typeface="Calibri" panose="020F0502020204030204"/>
              <a:ea typeface="+mn-ea"/>
              <a:cs typeface="+mn-cs"/>
            </a:rPr>
            <a:t>Uczelni</a:t>
          </a:r>
        </a:p>
      </dgm:t>
    </dgm:pt>
    <dgm:pt modelId="{926BF593-2F45-4AB8-B048-E20BC6D0A2F0}" type="parTrans" cxnId="{A3684A94-3DD2-4A69-983F-6E5AF3C5AE37}">
      <dgm:prSet/>
      <dgm:spPr/>
      <dgm:t>
        <a:bodyPr/>
        <a:lstStyle/>
        <a:p>
          <a:endParaRPr lang="pl-PL"/>
        </a:p>
      </dgm:t>
    </dgm:pt>
    <dgm:pt modelId="{8455F898-DA7F-41CF-AE76-45A6B8A94ACF}" type="sibTrans" cxnId="{A3684A94-3DD2-4A69-983F-6E5AF3C5AE37}">
      <dgm:prSet/>
      <dgm:spPr/>
      <dgm:t>
        <a:bodyPr/>
        <a:lstStyle/>
        <a:p>
          <a:endParaRPr lang="pl-PL"/>
        </a:p>
      </dgm:t>
    </dgm:pt>
    <dgm:pt modelId="{723BE6B4-3CEC-4773-BF6F-94D4881EE82C}">
      <dgm:prSet phldrT="[Tekst]" custT="1"/>
      <dgm:spPr>
        <a:xfrm>
          <a:off x="1647377" y="344644"/>
          <a:ext cx="1118800" cy="78316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 sz="1200" b="1">
              <a:latin typeface="Calibri" panose="020F0502020204030204"/>
              <a:ea typeface="+mn-ea"/>
              <a:cs typeface="+mn-cs"/>
            </a:rPr>
            <a:t>Strategia Uczelni</a:t>
          </a:r>
        </a:p>
      </dgm:t>
    </dgm:pt>
    <dgm:pt modelId="{9CE19F29-C40D-495B-AD97-82AF34EB9BA1}" type="parTrans" cxnId="{5110FE69-1826-4803-AE64-2431896DB26C}">
      <dgm:prSet/>
      <dgm:spPr/>
      <dgm:t>
        <a:bodyPr/>
        <a:lstStyle/>
        <a:p>
          <a:endParaRPr lang="pl-PL"/>
        </a:p>
      </dgm:t>
    </dgm:pt>
    <dgm:pt modelId="{BC553F75-304C-4024-9F7A-D31BB83C2220}" type="sibTrans" cxnId="{5110FE69-1826-4803-AE64-2431896DB26C}">
      <dgm:prSet/>
      <dgm:spPr/>
      <dgm:t>
        <a:bodyPr/>
        <a:lstStyle/>
        <a:p>
          <a:endParaRPr lang="pl-PL"/>
        </a:p>
      </dgm:t>
    </dgm:pt>
    <dgm:pt modelId="{0D9B3F34-53F6-4D60-BBDA-2EC7534F233B}">
      <dgm:prSet phldrT="[Tekst]" custT="1"/>
      <dgm:spPr>
        <a:xfrm>
          <a:off x="3176404" y="344644"/>
          <a:ext cx="1118800" cy="78316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 sz="1200" b="1">
              <a:latin typeface="Calibri" panose="020F0502020204030204"/>
              <a:ea typeface="+mn-ea"/>
              <a:cs typeface="+mn-cs"/>
            </a:rPr>
            <a:t>Strategia ZZL</a:t>
          </a:r>
        </a:p>
      </dgm:t>
    </dgm:pt>
    <dgm:pt modelId="{96D7917F-A1C1-4B56-8160-1FFFCD2C355F}" type="parTrans" cxnId="{C8808D36-399F-4428-9DF4-7BB9AF4D0E8C}">
      <dgm:prSet/>
      <dgm:spPr/>
      <dgm:t>
        <a:bodyPr/>
        <a:lstStyle/>
        <a:p>
          <a:endParaRPr lang="pl-PL"/>
        </a:p>
      </dgm:t>
    </dgm:pt>
    <dgm:pt modelId="{A846626B-D823-4242-A416-BA34831DCC15}" type="sibTrans" cxnId="{C8808D36-399F-4428-9DF4-7BB9AF4D0E8C}">
      <dgm:prSet/>
      <dgm:spPr/>
      <dgm:t>
        <a:bodyPr/>
        <a:lstStyle/>
        <a:p>
          <a:endParaRPr lang="pl-PL"/>
        </a:p>
      </dgm:t>
    </dgm:pt>
    <dgm:pt modelId="{EB25E164-3695-425D-8986-D85F0CE2A9ED}">
      <dgm:prSet custT="1"/>
      <dgm:spPr>
        <a:xfrm>
          <a:off x="4750183" y="279541"/>
          <a:ext cx="950980" cy="950980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pl-PL" sz="1050" b="1">
              <a:latin typeface="Calibri" panose="020F0502020204030204"/>
              <a:ea typeface="+mn-ea"/>
              <a:cs typeface="+mn-cs"/>
            </a:rPr>
            <a:t>Programy zarządzania ZZL</a:t>
          </a:r>
        </a:p>
      </dgm:t>
    </dgm:pt>
    <dgm:pt modelId="{9C0CC859-85AB-4BFD-9E57-2BDF5F894A44}" type="parTrans" cxnId="{317F36D5-E142-4D82-84FC-C6A1642A5520}">
      <dgm:prSet/>
      <dgm:spPr/>
      <dgm:t>
        <a:bodyPr/>
        <a:lstStyle/>
        <a:p>
          <a:endParaRPr lang="pl-PL"/>
        </a:p>
      </dgm:t>
    </dgm:pt>
    <dgm:pt modelId="{FC23B753-E819-4DBD-B691-1AFF453DD52B}" type="sibTrans" cxnId="{317F36D5-E142-4D82-84FC-C6A1642A5520}">
      <dgm:prSet/>
      <dgm:spPr/>
      <dgm:t>
        <a:bodyPr/>
        <a:lstStyle/>
        <a:p>
          <a:endParaRPr lang="pl-PL"/>
        </a:p>
      </dgm:t>
    </dgm:pt>
    <dgm:pt modelId="{669880E8-C15E-4588-B5A7-710DA2A124CC}" type="pres">
      <dgm:prSet presAssocID="{6AD67FC0-9F86-4CF1-841C-D7EB8733B700}" presName="Name0" presStyleCnt="0">
        <dgm:presLayoutVars>
          <dgm:dir/>
          <dgm:animOne val="branch"/>
          <dgm:animLvl val="lvl"/>
        </dgm:presLayoutVars>
      </dgm:prSet>
      <dgm:spPr/>
    </dgm:pt>
    <dgm:pt modelId="{6E94DA06-49C7-45C7-B6B0-438EFFFDC966}" type="pres">
      <dgm:prSet presAssocID="{CA663FE3-99A1-4A7E-9460-D558E0C64CC3}" presName="chaos" presStyleCnt="0"/>
      <dgm:spPr/>
    </dgm:pt>
    <dgm:pt modelId="{19302132-CC1B-4D32-9C5B-BDCD3BF1A26F}" type="pres">
      <dgm:prSet presAssocID="{CA663FE3-99A1-4A7E-9460-D558E0C64CC3}" presName="parTx1" presStyleLbl="revTx" presStyleIdx="0" presStyleCnt="3"/>
      <dgm:spPr/>
    </dgm:pt>
    <dgm:pt modelId="{A942366D-75CF-42F2-B603-6BF65665F19D}" type="pres">
      <dgm:prSet presAssocID="{CA663FE3-99A1-4A7E-9460-D558E0C64CC3}" presName="c1" presStyleLbl="node1" presStyleIdx="0" presStyleCnt="19"/>
      <dgm:spPr>
        <a:xfrm>
          <a:off x="77025" y="444026"/>
          <a:ext cx="88888" cy="88888"/>
        </a:xfrm>
        <a:prstGeom prst="ellipse">
          <a:avLst/>
        </a:prstGeom>
      </dgm:spPr>
    </dgm:pt>
    <dgm:pt modelId="{D1A2D9C1-5167-401B-B50B-1D1A65734DF4}" type="pres">
      <dgm:prSet presAssocID="{CA663FE3-99A1-4A7E-9460-D558E0C64CC3}" presName="c2" presStyleLbl="node1" presStyleIdx="1" presStyleCnt="19"/>
      <dgm:spPr>
        <a:xfrm>
          <a:off x="139247" y="319581"/>
          <a:ext cx="88888" cy="88888"/>
        </a:xfrm>
        <a:prstGeom prst="ellipse">
          <a:avLst/>
        </a:prstGeom>
      </dgm:spPr>
    </dgm:pt>
    <dgm:pt modelId="{0A5E3F60-56E3-4719-A909-24C38F21340A}" type="pres">
      <dgm:prSet presAssocID="{CA663FE3-99A1-4A7E-9460-D558E0C64CC3}" presName="c3" presStyleLbl="node1" presStyleIdx="2" presStyleCnt="19"/>
      <dgm:spPr>
        <a:xfrm>
          <a:off x="288580" y="344470"/>
          <a:ext cx="139682" cy="139682"/>
        </a:xfrm>
        <a:prstGeom prst="ellipse">
          <a:avLst/>
        </a:prstGeom>
      </dgm:spPr>
    </dgm:pt>
    <dgm:pt modelId="{B005E79B-D7C9-4F21-8B1F-B00F92EE9785}" type="pres">
      <dgm:prSet presAssocID="{CA663FE3-99A1-4A7E-9460-D558E0C64CC3}" presName="c4" presStyleLbl="node1" presStyleIdx="3" presStyleCnt="19"/>
      <dgm:spPr>
        <a:xfrm>
          <a:off x="413024" y="207582"/>
          <a:ext cx="88888" cy="88888"/>
        </a:xfrm>
        <a:prstGeom prst="ellipse">
          <a:avLst/>
        </a:prstGeom>
      </dgm:spPr>
    </dgm:pt>
    <dgm:pt modelId="{06642E42-4AD6-48FC-93D8-B925B79ED890}" type="pres">
      <dgm:prSet presAssocID="{CA663FE3-99A1-4A7E-9460-D558E0C64CC3}" presName="c5" presStyleLbl="node1" presStyleIdx="4" presStyleCnt="19"/>
      <dgm:spPr>
        <a:xfrm>
          <a:off x="574802" y="157804"/>
          <a:ext cx="88888" cy="88888"/>
        </a:xfrm>
        <a:prstGeom prst="ellipse">
          <a:avLst/>
        </a:prstGeom>
      </dgm:spPr>
    </dgm:pt>
    <dgm:pt modelId="{84D3DE48-2697-4A0D-AE28-119B601794E6}" type="pres">
      <dgm:prSet presAssocID="{CA663FE3-99A1-4A7E-9460-D558E0C64CC3}" presName="c6" presStyleLbl="node1" presStyleIdx="5" presStyleCnt="19"/>
      <dgm:spPr>
        <a:xfrm>
          <a:off x="773913" y="244915"/>
          <a:ext cx="88888" cy="88888"/>
        </a:xfrm>
        <a:prstGeom prst="ellipse">
          <a:avLst/>
        </a:prstGeom>
      </dgm:spPr>
    </dgm:pt>
    <dgm:pt modelId="{D00D84F1-72CB-42B0-8EDF-3217A9DDCD53}" type="pres">
      <dgm:prSet presAssocID="{CA663FE3-99A1-4A7E-9460-D558E0C64CC3}" presName="c7" presStyleLbl="node1" presStyleIdx="6" presStyleCnt="19"/>
      <dgm:spPr>
        <a:xfrm>
          <a:off x="898357" y="307137"/>
          <a:ext cx="139682" cy="139682"/>
        </a:xfrm>
        <a:prstGeom prst="ellipse">
          <a:avLst/>
        </a:prstGeom>
      </dgm:spPr>
    </dgm:pt>
    <dgm:pt modelId="{8D6F329D-999B-4CE0-BE35-D339FBBCDEB9}" type="pres">
      <dgm:prSet presAssocID="{CA663FE3-99A1-4A7E-9460-D558E0C64CC3}" presName="c8" presStyleLbl="node1" presStyleIdx="7" presStyleCnt="19"/>
      <dgm:spPr>
        <a:xfrm>
          <a:off x="1072579" y="444026"/>
          <a:ext cx="88888" cy="88888"/>
        </a:xfrm>
        <a:prstGeom prst="ellipse">
          <a:avLst/>
        </a:prstGeom>
      </dgm:spPr>
    </dgm:pt>
    <dgm:pt modelId="{138240B2-6C0F-431D-97A1-0E4DB08CED4F}" type="pres">
      <dgm:prSet presAssocID="{CA663FE3-99A1-4A7E-9460-D558E0C64CC3}" presName="c9" presStyleLbl="node1" presStyleIdx="8" presStyleCnt="19"/>
      <dgm:spPr>
        <a:xfrm>
          <a:off x="1147245" y="580914"/>
          <a:ext cx="88888" cy="88888"/>
        </a:xfrm>
        <a:prstGeom prst="ellipse">
          <a:avLst/>
        </a:prstGeom>
      </dgm:spPr>
    </dgm:pt>
    <dgm:pt modelId="{EDE1C52A-9545-43A1-A3C0-269E6567A0D3}" type="pres">
      <dgm:prSet presAssocID="{CA663FE3-99A1-4A7E-9460-D558E0C64CC3}" presName="c10" presStyleLbl="node1" presStyleIdx="9" presStyleCnt="19"/>
      <dgm:spPr>
        <a:xfrm>
          <a:off x="500135" y="319581"/>
          <a:ext cx="228570" cy="228570"/>
        </a:xfrm>
        <a:prstGeom prst="ellipse">
          <a:avLst/>
        </a:prstGeom>
      </dgm:spPr>
    </dgm:pt>
    <dgm:pt modelId="{43DA6D08-F6B6-48C9-AEFC-6DA55653B34D}" type="pres">
      <dgm:prSet presAssocID="{CA663FE3-99A1-4A7E-9460-D558E0C64CC3}" presName="c11" presStyleLbl="node1" presStyleIdx="10" presStyleCnt="19"/>
      <dgm:spPr>
        <a:xfrm>
          <a:off x="14803" y="792469"/>
          <a:ext cx="88888" cy="88888"/>
        </a:xfrm>
        <a:prstGeom prst="ellipse">
          <a:avLst/>
        </a:prstGeom>
      </dgm:spPr>
    </dgm:pt>
    <dgm:pt modelId="{280F901C-9E4F-4161-9EF2-405135B46E3C}" type="pres">
      <dgm:prSet presAssocID="{CA663FE3-99A1-4A7E-9460-D558E0C64CC3}" presName="c12" presStyleLbl="node1" presStyleIdx="11" presStyleCnt="19"/>
      <dgm:spPr>
        <a:xfrm>
          <a:off x="89470" y="904469"/>
          <a:ext cx="139682" cy="139682"/>
        </a:xfrm>
        <a:prstGeom prst="ellipse">
          <a:avLst/>
        </a:prstGeom>
      </dgm:spPr>
    </dgm:pt>
    <dgm:pt modelId="{BF808785-669C-4214-9430-544A765B4A6A}" type="pres">
      <dgm:prSet presAssocID="{CA663FE3-99A1-4A7E-9460-D558E0C64CC3}" presName="c13" presStyleLbl="node1" presStyleIdx="12" presStyleCnt="19"/>
      <dgm:spPr>
        <a:xfrm>
          <a:off x="276136" y="1004024"/>
          <a:ext cx="203174" cy="203174"/>
        </a:xfrm>
        <a:prstGeom prst="ellipse">
          <a:avLst/>
        </a:prstGeom>
      </dgm:spPr>
    </dgm:pt>
    <dgm:pt modelId="{9592C92A-09F3-4DB4-ACE1-A79D6C42BB30}" type="pres">
      <dgm:prSet presAssocID="{CA663FE3-99A1-4A7E-9460-D558E0C64CC3}" presName="c14" presStyleLbl="node1" presStyleIdx="13" presStyleCnt="19"/>
      <dgm:spPr>
        <a:xfrm>
          <a:off x="537469" y="1165802"/>
          <a:ext cx="88888" cy="88888"/>
        </a:xfrm>
        <a:prstGeom prst="ellipse">
          <a:avLst/>
        </a:prstGeom>
      </dgm:spPr>
    </dgm:pt>
    <dgm:pt modelId="{7D0078B1-86DF-4033-96B4-7E6A2D24CAE4}" type="pres">
      <dgm:prSet presAssocID="{CA663FE3-99A1-4A7E-9460-D558E0C64CC3}" presName="c15" presStyleLbl="node1" presStyleIdx="14" presStyleCnt="19"/>
      <dgm:spPr>
        <a:xfrm>
          <a:off x="587246" y="1004024"/>
          <a:ext cx="139682" cy="139682"/>
        </a:xfrm>
        <a:prstGeom prst="ellipse">
          <a:avLst/>
        </a:prstGeom>
      </dgm:spPr>
    </dgm:pt>
    <dgm:pt modelId="{BCD6A812-CB02-418B-BA11-47C7D2EEE034}" type="pres">
      <dgm:prSet presAssocID="{CA663FE3-99A1-4A7E-9460-D558E0C64CC3}" presName="c16" presStyleLbl="node1" presStyleIdx="15" presStyleCnt="19"/>
      <dgm:spPr>
        <a:xfrm>
          <a:off x="711691" y="1178246"/>
          <a:ext cx="88888" cy="88888"/>
        </a:xfrm>
        <a:prstGeom prst="ellipse">
          <a:avLst/>
        </a:prstGeom>
      </dgm:spPr>
    </dgm:pt>
    <dgm:pt modelId="{71C58F9E-FBD1-4171-9917-61CD6102C8EF}" type="pres">
      <dgm:prSet presAssocID="{CA663FE3-99A1-4A7E-9460-D558E0C64CC3}" presName="c17" presStyleLbl="node1" presStyleIdx="16" presStyleCnt="19"/>
      <dgm:spPr>
        <a:xfrm>
          <a:off x="823690" y="979136"/>
          <a:ext cx="203174" cy="203174"/>
        </a:xfrm>
        <a:prstGeom prst="ellipse">
          <a:avLst/>
        </a:prstGeom>
      </dgm:spPr>
    </dgm:pt>
    <dgm:pt modelId="{9EAFA44D-0DA1-4529-91E8-E6693D968941}" type="pres">
      <dgm:prSet presAssocID="{CA663FE3-99A1-4A7E-9460-D558E0C64CC3}" presName="c18" presStyleLbl="node1" presStyleIdx="17" presStyleCnt="19"/>
      <dgm:spPr>
        <a:xfrm>
          <a:off x="1097467" y="929358"/>
          <a:ext cx="139682" cy="139682"/>
        </a:xfrm>
        <a:prstGeom prst="ellipse">
          <a:avLst/>
        </a:prstGeom>
      </dgm:spPr>
    </dgm:pt>
    <dgm:pt modelId="{17070B3C-C29E-4C5F-82A9-C8D3447EDB27}" type="pres">
      <dgm:prSet presAssocID="{8455F898-DA7F-41CF-AE76-45A6B8A94ACF}" presName="chevronComposite1" presStyleCnt="0"/>
      <dgm:spPr/>
    </dgm:pt>
    <dgm:pt modelId="{EA6E2053-BCB0-4179-9E47-37C4862CC792}" type="pres">
      <dgm:prSet presAssocID="{8455F898-DA7F-41CF-AE76-45A6B8A94ACF}" presName="chevron1" presStyleLbl="sibTrans2D1" presStyleIdx="0" presStyleCnt="3"/>
      <dgm:spPr>
        <a:xfrm>
          <a:off x="1237150" y="344263"/>
          <a:ext cx="410226" cy="783167"/>
        </a:xfrm>
        <a:prstGeom prst="chevron">
          <a:avLst>
            <a:gd name="adj" fmla="val 62310"/>
          </a:avLst>
        </a:prstGeom>
      </dgm:spPr>
    </dgm:pt>
    <dgm:pt modelId="{420B9ED2-35CA-46D5-84E1-371FEB9F2E16}" type="pres">
      <dgm:prSet presAssocID="{8455F898-DA7F-41CF-AE76-45A6B8A94ACF}" presName="spChevron1" presStyleCnt="0"/>
      <dgm:spPr/>
    </dgm:pt>
    <dgm:pt modelId="{D2A9820C-B22C-46A7-B383-F5DCA0987A98}" type="pres">
      <dgm:prSet presAssocID="{723BE6B4-3CEC-4773-BF6F-94D4881EE82C}" presName="middle" presStyleCnt="0"/>
      <dgm:spPr/>
    </dgm:pt>
    <dgm:pt modelId="{8DC81CB7-73D8-432B-9CCA-3BED8C2AE24F}" type="pres">
      <dgm:prSet presAssocID="{723BE6B4-3CEC-4773-BF6F-94D4881EE82C}" presName="parTxMid" presStyleLbl="revTx" presStyleIdx="1" presStyleCnt="3"/>
      <dgm:spPr/>
    </dgm:pt>
    <dgm:pt modelId="{0C143471-92EB-4D1C-B6F4-9E63256D3135}" type="pres">
      <dgm:prSet presAssocID="{723BE6B4-3CEC-4773-BF6F-94D4881EE82C}" presName="spMid" presStyleCnt="0"/>
      <dgm:spPr/>
    </dgm:pt>
    <dgm:pt modelId="{F174D1D1-729E-40B2-A7A4-23F623D77860}" type="pres">
      <dgm:prSet presAssocID="{BC553F75-304C-4024-9F7A-D31BB83C2220}" presName="chevronComposite1" presStyleCnt="0"/>
      <dgm:spPr/>
    </dgm:pt>
    <dgm:pt modelId="{36BE2B56-D0A9-4BC7-BA50-2F6856AD33DF}" type="pres">
      <dgm:prSet presAssocID="{BC553F75-304C-4024-9F7A-D31BB83C2220}" presName="chevron1" presStyleLbl="sibTrans2D1" presStyleIdx="1" presStyleCnt="3" custLinFactNeighborX="5406" custLinFactNeighborY="-1888"/>
      <dgm:spPr>
        <a:xfrm>
          <a:off x="2788354" y="329477"/>
          <a:ext cx="410226" cy="783167"/>
        </a:xfrm>
        <a:prstGeom prst="chevron">
          <a:avLst>
            <a:gd name="adj" fmla="val 62310"/>
          </a:avLst>
        </a:prstGeom>
      </dgm:spPr>
    </dgm:pt>
    <dgm:pt modelId="{BD1D2970-625D-44AC-A016-8745BE4D2702}" type="pres">
      <dgm:prSet presAssocID="{BC553F75-304C-4024-9F7A-D31BB83C2220}" presName="spChevron1" presStyleCnt="0"/>
      <dgm:spPr/>
    </dgm:pt>
    <dgm:pt modelId="{E4C8F408-7746-41CD-95A3-46E872B31930}" type="pres">
      <dgm:prSet presAssocID="{0D9B3F34-53F6-4D60-BBDA-2EC7534F233B}" presName="middle" presStyleCnt="0"/>
      <dgm:spPr/>
    </dgm:pt>
    <dgm:pt modelId="{56FCBF67-A178-4B46-BA78-C7F4AF240682}" type="pres">
      <dgm:prSet presAssocID="{0D9B3F34-53F6-4D60-BBDA-2EC7534F233B}" presName="parTxMid" presStyleLbl="revTx" presStyleIdx="2" presStyleCnt="3"/>
      <dgm:spPr/>
    </dgm:pt>
    <dgm:pt modelId="{C38D298D-9AF9-4F20-809C-29009C49A3B6}" type="pres">
      <dgm:prSet presAssocID="{0D9B3F34-53F6-4D60-BBDA-2EC7534F233B}" presName="spMid" presStyleCnt="0"/>
      <dgm:spPr/>
    </dgm:pt>
    <dgm:pt modelId="{C5A804BE-C1EB-40EB-92DF-6337EA0EF2B8}" type="pres">
      <dgm:prSet presAssocID="{A846626B-D823-4242-A416-BA34831DCC15}" presName="chevronComposite1" presStyleCnt="0"/>
      <dgm:spPr/>
    </dgm:pt>
    <dgm:pt modelId="{047FFC0A-D3B7-4028-B804-FA22A0191FA2}" type="pres">
      <dgm:prSet presAssocID="{A846626B-D823-4242-A416-BA34831DCC15}" presName="chevron1" presStyleLbl="sibTrans2D1" presStyleIdx="2" presStyleCnt="3"/>
      <dgm:spPr>
        <a:xfrm>
          <a:off x="4295205" y="344263"/>
          <a:ext cx="410226" cy="783167"/>
        </a:xfrm>
        <a:prstGeom prst="chevron">
          <a:avLst>
            <a:gd name="adj" fmla="val 62310"/>
          </a:avLst>
        </a:prstGeom>
      </dgm:spPr>
    </dgm:pt>
    <dgm:pt modelId="{9DDB41C7-B4F6-47E6-A2C3-125B97DA4152}" type="pres">
      <dgm:prSet presAssocID="{A846626B-D823-4242-A416-BA34831DCC15}" presName="spChevron1" presStyleCnt="0"/>
      <dgm:spPr/>
    </dgm:pt>
    <dgm:pt modelId="{F2FDE715-A5E1-4F74-826A-0E9791122CCA}" type="pres">
      <dgm:prSet presAssocID="{EB25E164-3695-425D-8986-D85F0CE2A9ED}" presName="last" presStyleCnt="0"/>
      <dgm:spPr/>
    </dgm:pt>
    <dgm:pt modelId="{4FFB932A-D8D2-4A4A-8FFE-F2E1CA6674CD}" type="pres">
      <dgm:prSet presAssocID="{EB25E164-3695-425D-8986-D85F0CE2A9ED}" presName="circleTx" presStyleLbl="node1" presStyleIdx="18" presStyleCnt="19"/>
      <dgm:spPr/>
    </dgm:pt>
    <dgm:pt modelId="{F091F141-4ACB-4C07-9BDA-DF5D15F9369E}" type="pres">
      <dgm:prSet presAssocID="{EB25E164-3695-425D-8986-D85F0CE2A9ED}" presName="spN" presStyleCnt="0"/>
      <dgm:spPr/>
    </dgm:pt>
  </dgm:ptLst>
  <dgm:cxnLst>
    <dgm:cxn modelId="{08FC7805-8E14-4BC9-818D-01C742270305}" type="presOf" srcId="{EB25E164-3695-425D-8986-D85F0CE2A9ED}" destId="{4FFB932A-D8D2-4A4A-8FFE-F2E1CA6674CD}" srcOrd="0" destOrd="0" presId="urn:microsoft.com/office/officeart/2009/3/layout/RandomtoResultProcess"/>
    <dgm:cxn modelId="{BF7EE50F-D9DB-4AAD-9786-2EC44F2E2B79}" type="presOf" srcId="{CA663FE3-99A1-4A7E-9460-D558E0C64CC3}" destId="{19302132-CC1B-4D32-9C5B-BDCD3BF1A26F}" srcOrd="0" destOrd="0" presId="urn:microsoft.com/office/officeart/2009/3/layout/RandomtoResultProcess"/>
    <dgm:cxn modelId="{B738F42C-CEB2-4264-AB91-75398B947EBF}" type="presOf" srcId="{0D9B3F34-53F6-4D60-BBDA-2EC7534F233B}" destId="{56FCBF67-A178-4B46-BA78-C7F4AF240682}" srcOrd="0" destOrd="0" presId="urn:microsoft.com/office/officeart/2009/3/layout/RandomtoResultProcess"/>
    <dgm:cxn modelId="{C8808D36-399F-4428-9DF4-7BB9AF4D0E8C}" srcId="{6AD67FC0-9F86-4CF1-841C-D7EB8733B700}" destId="{0D9B3F34-53F6-4D60-BBDA-2EC7534F233B}" srcOrd="2" destOrd="0" parTransId="{96D7917F-A1C1-4B56-8160-1FFFCD2C355F}" sibTransId="{A846626B-D823-4242-A416-BA34831DCC15}"/>
    <dgm:cxn modelId="{5110FE69-1826-4803-AE64-2431896DB26C}" srcId="{6AD67FC0-9F86-4CF1-841C-D7EB8733B700}" destId="{723BE6B4-3CEC-4773-BF6F-94D4881EE82C}" srcOrd="1" destOrd="0" parTransId="{9CE19F29-C40D-495B-AD97-82AF34EB9BA1}" sibTransId="{BC553F75-304C-4024-9F7A-D31BB83C2220}"/>
    <dgm:cxn modelId="{143EC358-362D-4EF3-84E7-0B10C3D950D6}" type="presOf" srcId="{6AD67FC0-9F86-4CF1-841C-D7EB8733B700}" destId="{669880E8-C15E-4588-B5A7-710DA2A124CC}" srcOrd="0" destOrd="0" presId="urn:microsoft.com/office/officeart/2009/3/layout/RandomtoResultProcess"/>
    <dgm:cxn modelId="{A3684A94-3DD2-4A69-983F-6E5AF3C5AE37}" srcId="{6AD67FC0-9F86-4CF1-841C-D7EB8733B700}" destId="{CA663FE3-99A1-4A7E-9460-D558E0C64CC3}" srcOrd="0" destOrd="0" parTransId="{926BF593-2F45-4AB8-B048-E20BC6D0A2F0}" sibTransId="{8455F898-DA7F-41CF-AE76-45A6B8A94ACF}"/>
    <dgm:cxn modelId="{1AEAEAA1-4A82-453B-8833-BC3B14C59E3A}" type="presOf" srcId="{723BE6B4-3CEC-4773-BF6F-94D4881EE82C}" destId="{8DC81CB7-73D8-432B-9CCA-3BED8C2AE24F}" srcOrd="0" destOrd="0" presId="urn:microsoft.com/office/officeart/2009/3/layout/RandomtoResultProcess"/>
    <dgm:cxn modelId="{317F36D5-E142-4D82-84FC-C6A1642A5520}" srcId="{6AD67FC0-9F86-4CF1-841C-D7EB8733B700}" destId="{EB25E164-3695-425D-8986-D85F0CE2A9ED}" srcOrd="3" destOrd="0" parTransId="{9C0CC859-85AB-4BFD-9E57-2BDF5F894A44}" sibTransId="{FC23B753-E819-4DBD-B691-1AFF453DD52B}"/>
    <dgm:cxn modelId="{632EA978-6173-429A-8E03-7B3DFBA2A332}" type="presParOf" srcId="{669880E8-C15E-4588-B5A7-710DA2A124CC}" destId="{6E94DA06-49C7-45C7-B6B0-438EFFFDC966}" srcOrd="0" destOrd="0" presId="urn:microsoft.com/office/officeart/2009/3/layout/RandomtoResultProcess"/>
    <dgm:cxn modelId="{5A6D03E1-D824-488A-B92E-3EF3AF8CCB98}" type="presParOf" srcId="{6E94DA06-49C7-45C7-B6B0-438EFFFDC966}" destId="{19302132-CC1B-4D32-9C5B-BDCD3BF1A26F}" srcOrd="0" destOrd="0" presId="urn:microsoft.com/office/officeart/2009/3/layout/RandomtoResultProcess"/>
    <dgm:cxn modelId="{496A21D1-F6CE-4EEE-86F5-59DCBA5D0ACE}" type="presParOf" srcId="{6E94DA06-49C7-45C7-B6B0-438EFFFDC966}" destId="{A942366D-75CF-42F2-B603-6BF65665F19D}" srcOrd="1" destOrd="0" presId="urn:microsoft.com/office/officeart/2009/3/layout/RandomtoResultProcess"/>
    <dgm:cxn modelId="{77009C24-1879-41D1-86F7-E1C6420D9011}" type="presParOf" srcId="{6E94DA06-49C7-45C7-B6B0-438EFFFDC966}" destId="{D1A2D9C1-5167-401B-B50B-1D1A65734DF4}" srcOrd="2" destOrd="0" presId="urn:microsoft.com/office/officeart/2009/3/layout/RandomtoResultProcess"/>
    <dgm:cxn modelId="{F6B98F70-DA36-416F-8005-130FEE01A359}" type="presParOf" srcId="{6E94DA06-49C7-45C7-B6B0-438EFFFDC966}" destId="{0A5E3F60-56E3-4719-A909-24C38F21340A}" srcOrd="3" destOrd="0" presId="urn:microsoft.com/office/officeart/2009/3/layout/RandomtoResultProcess"/>
    <dgm:cxn modelId="{12C64923-20D2-4134-BCA7-3C88917B9BBD}" type="presParOf" srcId="{6E94DA06-49C7-45C7-B6B0-438EFFFDC966}" destId="{B005E79B-D7C9-4F21-8B1F-B00F92EE9785}" srcOrd="4" destOrd="0" presId="urn:microsoft.com/office/officeart/2009/3/layout/RandomtoResultProcess"/>
    <dgm:cxn modelId="{307DD232-A929-4004-B1EC-92D2CDCCA755}" type="presParOf" srcId="{6E94DA06-49C7-45C7-B6B0-438EFFFDC966}" destId="{06642E42-4AD6-48FC-93D8-B925B79ED890}" srcOrd="5" destOrd="0" presId="urn:microsoft.com/office/officeart/2009/3/layout/RandomtoResultProcess"/>
    <dgm:cxn modelId="{F8C80841-A32D-4E32-9002-8195C9136042}" type="presParOf" srcId="{6E94DA06-49C7-45C7-B6B0-438EFFFDC966}" destId="{84D3DE48-2697-4A0D-AE28-119B601794E6}" srcOrd="6" destOrd="0" presId="urn:microsoft.com/office/officeart/2009/3/layout/RandomtoResultProcess"/>
    <dgm:cxn modelId="{D6A03ACA-3D4E-4CE6-963A-4E904A634F46}" type="presParOf" srcId="{6E94DA06-49C7-45C7-B6B0-438EFFFDC966}" destId="{D00D84F1-72CB-42B0-8EDF-3217A9DDCD53}" srcOrd="7" destOrd="0" presId="urn:microsoft.com/office/officeart/2009/3/layout/RandomtoResultProcess"/>
    <dgm:cxn modelId="{75B338E9-12B3-4986-B31B-0FD2DBDA5CDC}" type="presParOf" srcId="{6E94DA06-49C7-45C7-B6B0-438EFFFDC966}" destId="{8D6F329D-999B-4CE0-BE35-D339FBBCDEB9}" srcOrd="8" destOrd="0" presId="urn:microsoft.com/office/officeart/2009/3/layout/RandomtoResultProcess"/>
    <dgm:cxn modelId="{A5512B05-4C9E-47F6-992F-8883D5B13B4C}" type="presParOf" srcId="{6E94DA06-49C7-45C7-B6B0-438EFFFDC966}" destId="{138240B2-6C0F-431D-97A1-0E4DB08CED4F}" srcOrd="9" destOrd="0" presId="urn:microsoft.com/office/officeart/2009/3/layout/RandomtoResultProcess"/>
    <dgm:cxn modelId="{58019D63-5686-4039-8B75-58A3D26C7583}" type="presParOf" srcId="{6E94DA06-49C7-45C7-B6B0-438EFFFDC966}" destId="{EDE1C52A-9545-43A1-A3C0-269E6567A0D3}" srcOrd="10" destOrd="0" presId="urn:microsoft.com/office/officeart/2009/3/layout/RandomtoResultProcess"/>
    <dgm:cxn modelId="{C56CB57C-3FE3-4751-B572-C61694ACA79D}" type="presParOf" srcId="{6E94DA06-49C7-45C7-B6B0-438EFFFDC966}" destId="{43DA6D08-F6B6-48C9-AEFC-6DA55653B34D}" srcOrd="11" destOrd="0" presId="urn:microsoft.com/office/officeart/2009/3/layout/RandomtoResultProcess"/>
    <dgm:cxn modelId="{A1B88B28-F493-4B5B-A10F-7FACC30F8B4D}" type="presParOf" srcId="{6E94DA06-49C7-45C7-B6B0-438EFFFDC966}" destId="{280F901C-9E4F-4161-9EF2-405135B46E3C}" srcOrd="12" destOrd="0" presId="urn:microsoft.com/office/officeart/2009/3/layout/RandomtoResultProcess"/>
    <dgm:cxn modelId="{3A56D356-7A10-4A2E-91F2-2D4C90EFE245}" type="presParOf" srcId="{6E94DA06-49C7-45C7-B6B0-438EFFFDC966}" destId="{BF808785-669C-4214-9430-544A765B4A6A}" srcOrd="13" destOrd="0" presId="urn:microsoft.com/office/officeart/2009/3/layout/RandomtoResultProcess"/>
    <dgm:cxn modelId="{A822EA15-9701-4BAD-8450-D5928DC209B0}" type="presParOf" srcId="{6E94DA06-49C7-45C7-B6B0-438EFFFDC966}" destId="{9592C92A-09F3-4DB4-ACE1-A79D6C42BB30}" srcOrd="14" destOrd="0" presId="urn:microsoft.com/office/officeart/2009/3/layout/RandomtoResultProcess"/>
    <dgm:cxn modelId="{03AE9E6D-6CBF-4C5C-83FA-604D702C0AB9}" type="presParOf" srcId="{6E94DA06-49C7-45C7-B6B0-438EFFFDC966}" destId="{7D0078B1-86DF-4033-96B4-7E6A2D24CAE4}" srcOrd="15" destOrd="0" presId="urn:microsoft.com/office/officeart/2009/3/layout/RandomtoResultProcess"/>
    <dgm:cxn modelId="{9D8AEEF2-7A6B-4063-8990-F2D7BEBBE129}" type="presParOf" srcId="{6E94DA06-49C7-45C7-B6B0-438EFFFDC966}" destId="{BCD6A812-CB02-418B-BA11-47C7D2EEE034}" srcOrd="16" destOrd="0" presId="urn:microsoft.com/office/officeart/2009/3/layout/RandomtoResultProcess"/>
    <dgm:cxn modelId="{8034CA78-0A36-456A-90AF-7BD99CDD4508}" type="presParOf" srcId="{6E94DA06-49C7-45C7-B6B0-438EFFFDC966}" destId="{71C58F9E-FBD1-4171-9917-61CD6102C8EF}" srcOrd="17" destOrd="0" presId="urn:microsoft.com/office/officeart/2009/3/layout/RandomtoResultProcess"/>
    <dgm:cxn modelId="{3D9D8041-E127-449A-A901-9791F854BCF9}" type="presParOf" srcId="{6E94DA06-49C7-45C7-B6B0-438EFFFDC966}" destId="{9EAFA44D-0DA1-4529-91E8-E6693D968941}" srcOrd="18" destOrd="0" presId="urn:microsoft.com/office/officeart/2009/3/layout/RandomtoResultProcess"/>
    <dgm:cxn modelId="{36C79BE2-0E89-4807-8A15-204CAAED68AD}" type="presParOf" srcId="{669880E8-C15E-4588-B5A7-710DA2A124CC}" destId="{17070B3C-C29E-4C5F-82A9-C8D3447EDB27}" srcOrd="1" destOrd="0" presId="urn:microsoft.com/office/officeart/2009/3/layout/RandomtoResultProcess"/>
    <dgm:cxn modelId="{D35C5362-3B81-4F69-9DD2-0C69D6A1B745}" type="presParOf" srcId="{17070B3C-C29E-4C5F-82A9-C8D3447EDB27}" destId="{EA6E2053-BCB0-4179-9E47-37C4862CC792}" srcOrd="0" destOrd="0" presId="urn:microsoft.com/office/officeart/2009/3/layout/RandomtoResultProcess"/>
    <dgm:cxn modelId="{CCA48899-8014-4DF3-A257-B6A88A719FB0}" type="presParOf" srcId="{17070B3C-C29E-4C5F-82A9-C8D3447EDB27}" destId="{420B9ED2-35CA-46D5-84E1-371FEB9F2E16}" srcOrd="1" destOrd="0" presId="urn:microsoft.com/office/officeart/2009/3/layout/RandomtoResultProcess"/>
    <dgm:cxn modelId="{332E25DF-15B3-47D2-BB49-947475B89729}" type="presParOf" srcId="{669880E8-C15E-4588-B5A7-710DA2A124CC}" destId="{D2A9820C-B22C-46A7-B383-F5DCA0987A98}" srcOrd="2" destOrd="0" presId="urn:microsoft.com/office/officeart/2009/3/layout/RandomtoResultProcess"/>
    <dgm:cxn modelId="{5E6B1ACD-3347-4906-B2A8-93BDE831D198}" type="presParOf" srcId="{D2A9820C-B22C-46A7-B383-F5DCA0987A98}" destId="{8DC81CB7-73D8-432B-9CCA-3BED8C2AE24F}" srcOrd="0" destOrd="0" presId="urn:microsoft.com/office/officeart/2009/3/layout/RandomtoResultProcess"/>
    <dgm:cxn modelId="{1FB6E452-E634-4A11-8864-68B7B6125429}" type="presParOf" srcId="{D2A9820C-B22C-46A7-B383-F5DCA0987A98}" destId="{0C143471-92EB-4D1C-B6F4-9E63256D3135}" srcOrd="1" destOrd="0" presId="urn:microsoft.com/office/officeart/2009/3/layout/RandomtoResultProcess"/>
    <dgm:cxn modelId="{1B4D5578-7929-42F2-B6EA-6A8CC8A6506C}" type="presParOf" srcId="{669880E8-C15E-4588-B5A7-710DA2A124CC}" destId="{F174D1D1-729E-40B2-A7A4-23F623D77860}" srcOrd="3" destOrd="0" presId="urn:microsoft.com/office/officeart/2009/3/layout/RandomtoResultProcess"/>
    <dgm:cxn modelId="{0556D006-470D-4AA4-A029-BC862FFA1EB9}" type="presParOf" srcId="{F174D1D1-729E-40B2-A7A4-23F623D77860}" destId="{36BE2B56-D0A9-4BC7-BA50-2F6856AD33DF}" srcOrd="0" destOrd="0" presId="urn:microsoft.com/office/officeart/2009/3/layout/RandomtoResultProcess"/>
    <dgm:cxn modelId="{F47B8E20-E788-41BD-BCA3-5002FB21B60B}" type="presParOf" srcId="{F174D1D1-729E-40B2-A7A4-23F623D77860}" destId="{BD1D2970-625D-44AC-A016-8745BE4D2702}" srcOrd="1" destOrd="0" presId="urn:microsoft.com/office/officeart/2009/3/layout/RandomtoResultProcess"/>
    <dgm:cxn modelId="{DD01B452-2135-445A-AFFD-A2B165BB72A9}" type="presParOf" srcId="{669880E8-C15E-4588-B5A7-710DA2A124CC}" destId="{E4C8F408-7746-41CD-95A3-46E872B31930}" srcOrd="4" destOrd="0" presId="urn:microsoft.com/office/officeart/2009/3/layout/RandomtoResultProcess"/>
    <dgm:cxn modelId="{1E585068-4137-4B7A-B42B-6AE5E493452A}" type="presParOf" srcId="{E4C8F408-7746-41CD-95A3-46E872B31930}" destId="{56FCBF67-A178-4B46-BA78-C7F4AF240682}" srcOrd="0" destOrd="0" presId="urn:microsoft.com/office/officeart/2009/3/layout/RandomtoResultProcess"/>
    <dgm:cxn modelId="{9F4870AA-3EF1-4C8E-947A-674C47248D15}" type="presParOf" srcId="{E4C8F408-7746-41CD-95A3-46E872B31930}" destId="{C38D298D-9AF9-4F20-809C-29009C49A3B6}" srcOrd="1" destOrd="0" presId="urn:microsoft.com/office/officeart/2009/3/layout/RandomtoResultProcess"/>
    <dgm:cxn modelId="{B7EF1FF5-650E-40D2-AB4A-203C96F7E21B}" type="presParOf" srcId="{669880E8-C15E-4588-B5A7-710DA2A124CC}" destId="{C5A804BE-C1EB-40EB-92DF-6337EA0EF2B8}" srcOrd="5" destOrd="0" presId="urn:microsoft.com/office/officeart/2009/3/layout/RandomtoResultProcess"/>
    <dgm:cxn modelId="{1835E307-6BE8-4A5C-8DFB-D3AA3A158B4B}" type="presParOf" srcId="{C5A804BE-C1EB-40EB-92DF-6337EA0EF2B8}" destId="{047FFC0A-D3B7-4028-B804-FA22A0191FA2}" srcOrd="0" destOrd="0" presId="urn:microsoft.com/office/officeart/2009/3/layout/RandomtoResultProcess"/>
    <dgm:cxn modelId="{EBDCAB5C-D002-45C7-BCA8-F0583DFF9DA6}" type="presParOf" srcId="{C5A804BE-C1EB-40EB-92DF-6337EA0EF2B8}" destId="{9DDB41C7-B4F6-47E6-A2C3-125B97DA4152}" srcOrd="1" destOrd="0" presId="urn:microsoft.com/office/officeart/2009/3/layout/RandomtoResultProcess"/>
    <dgm:cxn modelId="{DF1FD4E5-A2D2-4C72-B58A-67A480713516}" type="presParOf" srcId="{669880E8-C15E-4588-B5A7-710DA2A124CC}" destId="{F2FDE715-A5E1-4F74-826A-0E9791122CCA}" srcOrd="6" destOrd="0" presId="urn:microsoft.com/office/officeart/2009/3/layout/RandomtoResultProcess"/>
    <dgm:cxn modelId="{A0C095D9-1731-44CC-9974-3CB7E8131B6D}" type="presParOf" srcId="{F2FDE715-A5E1-4F74-826A-0E9791122CCA}" destId="{4FFB932A-D8D2-4A4A-8FFE-F2E1CA6674CD}" srcOrd="0" destOrd="0" presId="urn:microsoft.com/office/officeart/2009/3/layout/RandomtoResultProcess"/>
    <dgm:cxn modelId="{042F50AC-EBBA-4508-B718-B0E9A58E69CD}" type="presParOf" srcId="{F2FDE715-A5E1-4F74-826A-0E9791122CCA}" destId="{F091F141-4ACB-4C07-9BDA-DF5D15F9369E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02132-CC1B-4D32-9C5B-BDCD3BF1A26F}">
      <dsp:nvSpPr>
        <dsp:cNvPr id="0" name=""/>
        <dsp:cNvSpPr/>
      </dsp:nvSpPr>
      <dsp:spPr>
        <a:xfrm>
          <a:off x="78295" y="556025"/>
          <a:ext cx="1117457" cy="368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 panose="020F0502020204030204"/>
              <a:ea typeface="+mn-ea"/>
              <a:cs typeface="+mn-cs"/>
            </a:rPr>
            <a:t>Misja i Wizja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 panose="020F0502020204030204"/>
              <a:ea typeface="+mn-ea"/>
              <a:cs typeface="+mn-cs"/>
            </a:rPr>
            <a:t>Uczelni</a:t>
          </a:r>
        </a:p>
      </dsp:txBody>
      <dsp:txXfrm>
        <a:off x="78295" y="556025"/>
        <a:ext cx="1117457" cy="368253"/>
      </dsp:txXfrm>
    </dsp:sp>
    <dsp:sp modelId="{A942366D-75CF-42F2-B603-6BF65665F19D}">
      <dsp:nvSpPr>
        <dsp:cNvPr id="0" name=""/>
        <dsp:cNvSpPr/>
      </dsp:nvSpPr>
      <dsp:spPr>
        <a:xfrm>
          <a:off x="77025" y="444026"/>
          <a:ext cx="88888" cy="88888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2D9C1-5167-401B-B50B-1D1A65734DF4}">
      <dsp:nvSpPr>
        <dsp:cNvPr id="0" name=""/>
        <dsp:cNvSpPr/>
      </dsp:nvSpPr>
      <dsp:spPr>
        <a:xfrm>
          <a:off x="139247" y="319581"/>
          <a:ext cx="88888" cy="88888"/>
        </a:xfrm>
        <a:prstGeom prst="ellipse">
          <a:avLst/>
        </a:prstGeom>
        <a:solidFill>
          <a:schemeClr val="accent1">
            <a:shade val="50000"/>
            <a:hueOff val="42368"/>
            <a:satOff val="-1032"/>
            <a:lumOff val="45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5E3F60-56E3-4719-A909-24C38F21340A}">
      <dsp:nvSpPr>
        <dsp:cNvPr id="0" name=""/>
        <dsp:cNvSpPr/>
      </dsp:nvSpPr>
      <dsp:spPr>
        <a:xfrm>
          <a:off x="288580" y="344470"/>
          <a:ext cx="139682" cy="139682"/>
        </a:xfrm>
        <a:prstGeom prst="ellipse">
          <a:avLst/>
        </a:prstGeom>
        <a:solidFill>
          <a:schemeClr val="accent1">
            <a:shade val="50000"/>
            <a:hueOff val="84735"/>
            <a:satOff val="-2064"/>
            <a:lumOff val="903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05E79B-D7C9-4F21-8B1F-B00F92EE9785}">
      <dsp:nvSpPr>
        <dsp:cNvPr id="0" name=""/>
        <dsp:cNvSpPr/>
      </dsp:nvSpPr>
      <dsp:spPr>
        <a:xfrm>
          <a:off x="413024" y="207582"/>
          <a:ext cx="88888" cy="88888"/>
        </a:xfrm>
        <a:prstGeom prst="ellipse">
          <a:avLst/>
        </a:prstGeom>
        <a:solidFill>
          <a:schemeClr val="accent1">
            <a:shade val="50000"/>
            <a:hueOff val="127103"/>
            <a:satOff val="-3095"/>
            <a:lumOff val="135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42E42-4AD6-48FC-93D8-B925B79ED890}">
      <dsp:nvSpPr>
        <dsp:cNvPr id="0" name=""/>
        <dsp:cNvSpPr/>
      </dsp:nvSpPr>
      <dsp:spPr>
        <a:xfrm>
          <a:off x="574802" y="157804"/>
          <a:ext cx="88888" cy="88888"/>
        </a:xfrm>
        <a:prstGeom prst="ellipse">
          <a:avLst/>
        </a:prstGeom>
        <a:solidFill>
          <a:schemeClr val="accent1">
            <a:shade val="50000"/>
            <a:hueOff val="169471"/>
            <a:satOff val="-4127"/>
            <a:lumOff val="180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D3DE48-2697-4A0D-AE28-119B601794E6}">
      <dsp:nvSpPr>
        <dsp:cNvPr id="0" name=""/>
        <dsp:cNvSpPr/>
      </dsp:nvSpPr>
      <dsp:spPr>
        <a:xfrm>
          <a:off x="773913" y="244915"/>
          <a:ext cx="88888" cy="88888"/>
        </a:xfrm>
        <a:prstGeom prst="ellipse">
          <a:avLst/>
        </a:prstGeom>
        <a:solidFill>
          <a:schemeClr val="accent1">
            <a:shade val="50000"/>
            <a:hueOff val="211839"/>
            <a:satOff val="-5159"/>
            <a:lumOff val="225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D84F1-72CB-42B0-8EDF-3217A9DDCD53}">
      <dsp:nvSpPr>
        <dsp:cNvPr id="0" name=""/>
        <dsp:cNvSpPr/>
      </dsp:nvSpPr>
      <dsp:spPr>
        <a:xfrm>
          <a:off x="898357" y="307137"/>
          <a:ext cx="139682" cy="139682"/>
        </a:xfrm>
        <a:prstGeom prst="ellipse">
          <a:avLst/>
        </a:prstGeom>
        <a:solidFill>
          <a:schemeClr val="accent1">
            <a:shade val="50000"/>
            <a:hueOff val="254206"/>
            <a:satOff val="-6191"/>
            <a:lumOff val="27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F329D-999B-4CE0-BE35-D339FBBCDEB9}">
      <dsp:nvSpPr>
        <dsp:cNvPr id="0" name=""/>
        <dsp:cNvSpPr/>
      </dsp:nvSpPr>
      <dsp:spPr>
        <a:xfrm>
          <a:off x="1072579" y="444026"/>
          <a:ext cx="88888" cy="88888"/>
        </a:xfrm>
        <a:prstGeom prst="ellipse">
          <a:avLst/>
        </a:prstGeom>
        <a:solidFill>
          <a:schemeClr val="accent1">
            <a:shade val="50000"/>
            <a:hueOff val="296574"/>
            <a:satOff val="-7223"/>
            <a:lumOff val="31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240B2-6C0F-431D-97A1-0E4DB08CED4F}">
      <dsp:nvSpPr>
        <dsp:cNvPr id="0" name=""/>
        <dsp:cNvSpPr/>
      </dsp:nvSpPr>
      <dsp:spPr>
        <a:xfrm>
          <a:off x="1147245" y="580914"/>
          <a:ext cx="88888" cy="88888"/>
        </a:xfrm>
        <a:prstGeom prst="ellipse">
          <a:avLst/>
        </a:prstGeom>
        <a:solidFill>
          <a:schemeClr val="accent1">
            <a:shade val="50000"/>
            <a:hueOff val="338942"/>
            <a:satOff val="-8254"/>
            <a:lumOff val="361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1C52A-9545-43A1-A3C0-269E6567A0D3}">
      <dsp:nvSpPr>
        <dsp:cNvPr id="0" name=""/>
        <dsp:cNvSpPr/>
      </dsp:nvSpPr>
      <dsp:spPr>
        <a:xfrm>
          <a:off x="500135" y="319581"/>
          <a:ext cx="228570" cy="228570"/>
        </a:xfrm>
        <a:prstGeom prst="ellipse">
          <a:avLst/>
        </a:prstGeom>
        <a:solidFill>
          <a:schemeClr val="accent1">
            <a:shade val="50000"/>
            <a:hueOff val="381309"/>
            <a:satOff val="-9286"/>
            <a:lumOff val="406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DA6D08-F6B6-48C9-AEFC-6DA55653B34D}">
      <dsp:nvSpPr>
        <dsp:cNvPr id="0" name=""/>
        <dsp:cNvSpPr/>
      </dsp:nvSpPr>
      <dsp:spPr>
        <a:xfrm>
          <a:off x="14803" y="792469"/>
          <a:ext cx="88888" cy="88888"/>
        </a:xfrm>
        <a:prstGeom prst="ellipse">
          <a:avLst/>
        </a:prstGeom>
        <a:solidFill>
          <a:schemeClr val="accent1">
            <a:shade val="50000"/>
            <a:hueOff val="381309"/>
            <a:satOff val="-9286"/>
            <a:lumOff val="406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F901C-9E4F-4161-9EF2-405135B46E3C}">
      <dsp:nvSpPr>
        <dsp:cNvPr id="0" name=""/>
        <dsp:cNvSpPr/>
      </dsp:nvSpPr>
      <dsp:spPr>
        <a:xfrm>
          <a:off x="89470" y="904469"/>
          <a:ext cx="139682" cy="139682"/>
        </a:xfrm>
        <a:prstGeom prst="ellipse">
          <a:avLst/>
        </a:prstGeom>
        <a:solidFill>
          <a:schemeClr val="accent1">
            <a:shade val="50000"/>
            <a:hueOff val="338942"/>
            <a:satOff val="-8254"/>
            <a:lumOff val="361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08785-669C-4214-9430-544A765B4A6A}">
      <dsp:nvSpPr>
        <dsp:cNvPr id="0" name=""/>
        <dsp:cNvSpPr/>
      </dsp:nvSpPr>
      <dsp:spPr>
        <a:xfrm>
          <a:off x="276136" y="1004024"/>
          <a:ext cx="203174" cy="203174"/>
        </a:xfrm>
        <a:prstGeom prst="ellipse">
          <a:avLst/>
        </a:prstGeom>
        <a:solidFill>
          <a:schemeClr val="accent1">
            <a:shade val="50000"/>
            <a:hueOff val="296574"/>
            <a:satOff val="-7223"/>
            <a:lumOff val="31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2C92A-09F3-4DB4-ACE1-A79D6C42BB30}">
      <dsp:nvSpPr>
        <dsp:cNvPr id="0" name=""/>
        <dsp:cNvSpPr/>
      </dsp:nvSpPr>
      <dsp:spPr>
        <a:xfrm>
          <a:off x="537469" y="1165802"/>
          <a:ext cx="88888" cy="88888"/>
        </a:xfrm>
        <a:prstGeom prst="ellipse">
          <a:avLst/>
        </a:prstGeom>
        <a:solidFill>
          <a:schemeClr val="accent1">
            <a:shade val="50000"/>
            <a:hueOff val="254206"/>
            <a:satOff val="-6191"/>
            <a:lumOff val="27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0078B1-86DF-4033-96B4-7E6A2D24CAE4}">
      <dsp:nvSpPr>
        <dsp:cNvPr id="0" name=""/>
        <dsp:cNvSpPr/>
      </dsp:nvSpPr>
      <dsp:spPr>
        <a:xfrm>
          <a:off x="587246" y="1004024"/>
          <a:ext cx="139682" cy="139682"/>
        </a:xfrm>
        <a:prstGeom prst="ellipse">
          <a:avLst/>
        </a:prstGeom>
        <a:solidFill>
          <a:schemeClr val="accent1">
            <a:shade val="50000"/>
            <a:hueOff val="211839"/>
            <a:satOff val="-5159"/>
            <a:lumOff val="225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D6A812-CB02-418B-BA11-47C7D2EEE034}">
      <dsp:nvSpPr>
        <dsp:cNvPr id="0" name=""/>
        <dsp:cNvSpPr/>
      </dsp:nvSpPr>
      <dsp:spPr>
        <a:xfrm>
          <a:off x="711691" y="1178246"/>
          <a:ext cx="88888" cy="88888"/>
        </a:xfrm>
        <a:prstGeom prst="ellipse">
          <a:avLst/>
        </a:prstGeom>
        <a:solidFill>
          <a:schemeClr val="accent1">
            <a:shade val="50000"/>
            <a:hueOff val="169471"/>
            <a:satOff val="-4127"/>
            <a:lumOff val="180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58F9E-FBD1-4171-9917-61CD6102C8EF}">
      <dsp:nvSpPr>
        <dsp:cNvPr id="0" name=""/>
        <dsp:cNvSpPr/>
      </dsp:nvSpPr>
      <dsp:spPr>
        <a:xfrm>
          <a:off x="823690" y="979136"/>
          <a:ext cx="203174" cy="203174"/>
        </a:xfrm>
        <a:prstGeom prst="ellipse">
          <a:avLst/>
        </a:prstGeom>
        <a:solidFill>
          <a:schemeClr val="accent1">
            <a:shade val="50000"/>
            <a:hueOff val="127103"/>
            <a:satOff val="-3095"/>
            <a:lumOff val="135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FA44D-0DA1-4529-91E8-E6693D968941}">
      <dsp:nvSpPr>
        <dsp:cNvPr id="0" name=""/>
        <dsp:cNvSpPr/>
      </dsp:nvSpPr>
      <dsp:spPr>
        <a:xfrm>
          <a:off x="1097467" y="929358"/>
          <a:ext cx="139682" cy="139682"/>
        </a:xfrm>
        <a:prstGeom prst="ellipse">
          <a:avLst/>
        </a:prstGeom>
        <a:solidFill>
          <a:schemeClr val="accent1">
            <a:shade val="50000"/>
            <a:hueOff val="84735"/>
            <a:satOff val="-2064"/>
            <a:lumOff val="903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6E2053-BCB0-4179-9E47-37C4862CC792}">
      <dsp:nvSpPr>
        <dsp:cNvPr id="0" name=""/>
        <dsp:cNvSpPr/>
      </dsp:nvSpPr>
      <dsp:spPr>
        <a:xfrm>
          <a:off x="1237150" y="344263"/>
          <a:ext cx="410226" cy="783167"/>
        </a:xfrm>
        <a:prstGeom prst="chevron">
          <a:avLst>
            <a:gd name="adj" fmla="val 6231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81CB7-73D8-432B-9CCA-3BED8C2AE24F}">
      <dsp:nvSpPr>
        <dsp:cNvPr id="0" name=""/>
        <dsp:cNvSpPr/>
      </dsp:nvSpPr>
      <dsp:spPr>
        <a:xfrm>
          <a:off x="1647377" y="344644"/>
          <a:ext cx="1118800" cy="783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 panose="020F0502020204030204"/>
              <a:ea typeface="+mn-ea"/>
              <a:cs typeface="+mn-cs"/>
            </a:rPr>
            <a:t>Strategia Uczelni</a:t>
          </a:r>
        </a:p>
      </dsp:txBody>
      <dsp:txXfrm>
        <a:off x="1647377" y="344644"/>
        <a:ext cx="1118800" cy="783160"/>
      </dsp:txXfrm>
    </dsp:sp>
    <dsp:sp modelId="{36BE2B56-D0A9-4BC7-BA50-2F6856AD33DF}">
      <dsp:nvSpPr>
        <dsp:cNvPr id="0" name=""/>
        <dsp:cNvSpPr/>
      </dsp:nvSpPr>
      <dsp:spPr>
        <a:xfrm>
          <a:off x="2788354" y="329477"/>
          <a:ext cx="410226" cy="783167"/>
        </a:xfrm>
        <a:prstGeom prst="chevron">
          <a:avLst>
            <a:gd name="adj" fmla="val 62310"/>
          </a:avLst>
        </a:prstGeom>
        <a:solidFill>
          <a:schemeClr val="accent1">
            <a:shade val="90000"/>
            <a:hueOff val="276951"/>
            <a:satOff val="-5914"/>
            <a:lumOff val="220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CBF67-A178-4B46-BA78-C7F4AF240682}">
      <dsp:nvSpPr>
        <dsp:cNvPr id="0" name=""/>
        <dsp:cNvSpPr/>
      </dsp:nvSpPr>
      <dsp:spPr>
        <a:xfrm>
          <a:off x="3176404" y="344644"/>
          <a:ext cx="1118800" cy="783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 panose="020F0502020204030204"/>
              <a:ea typeface="+mn-ea"/>
              <a:cs typeface="+mn-cs"/>
            </a:rPr>
            <a:t>Strategia ZZL</a:t>
          </a:r>
        </a:p>
      </dsp:txBody>
      <dsp:txXfrm>
        <a:off x="3176404" y="344644"/>
        <a:ext cx="1118800" cy="783160"/>
      </dsp:txXfrm>
    </dsp:sp>
    <dsp:sp modelId="{047FFC0A-D3B7-4028-B804-FA22A0191FA2}">
      <dsp:nvSpPr>
        <dsp:cNvPr id="0" name=""/>
        <dsp:cNvSpPr/>
      </dsp:nvSpPr>
      <dsp:spPr>
        <a:xfrm>
          <a:off x="4295205" y="344263"/>
          <a:ext cx="410226" cy="783167"/>
        </a:xfrm>
        <a:prstGeom prst="chevron">
          <a:avLst>
            <a:gd name="adj" fmla="val 62310"/>
          </a:avLst>
        </a:prstGeom>
        <a:solidFill>
          <a:schemeClr val="accent1">
            <a:shade val="90000"/>
            <a:hueOff val="276951"/>
            <a:satOff val="-5914"/>
            <a:lumOff val="220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B932A-D8D2-4A4A-8FFE-F2E1CA6674CD}">
      <dsp:nvSpPr>
        <dsp:cNvPr id="0" name=""/>
        <dsp:cNvSpPr/>
      </dsp:nvSpPr>
      <dsp:spPr>
        <a:xfrm>
          <a:off x="4750183" y="279541"/>
          <a:ext cx="950980" cy="950980"/>
        </a:xfrm>
        <a:prstGeom prst="ellipse">
          <a:avLst/>
        </a:prstGeom>
        <a:solidFill>
          <a:schemeClr val="accent1">
            <a:shade val="50000"/>
            <a:hueOff val="42368"/>
            <a:satOff val="-1032"/>
            <a:lumOff val="45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latin typeface="Calibri" panose="020F0502020204030204"/>
              <a:ea typeface="+mn-ea"/>
              <a:cs typeface="+mn-cs"/>
            </a:rPr>
            <a:t>Programy zarządzania ZZL</a:t>
          </a:r>
        </a:p>
      </dsp:txBody>
      <dsp:txXfrm>
        <a:off x="4889451" y="418809"/>
        <a:ext cx="672444" cy="672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EF27-5C0A-456E-AB29-6876DBD0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6163</Words>
  <Characters>36982</Characters>
  <Application>Microsoft Office Word</Application>
  <DocSecurity>4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Rektora ZUT z dnia 22 czerwca 2023 r. w sprawie Strategii Zarządzania Zasobami Ludzkimi w ZUT na lata 2023 – 2026</vt:lpstr>
    </vt:vector>
  </TitlesOfParts>
  <Company/>
  <LinksUpToDate>false</LinksUpToDate>
  <CharactersWithSpaces>43059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22 czerwca 2023 r. w sprawie Strategii Zarządzania Zasobami Ludzkimi w ZUT na lata 2023 – 2026</dc:title>
  <dc:subject/>
  <dc:creator>ZUT</dc:creator>
  <cp:keywords/>
  <dc:description/>
  <cp:lastModifiedBy>Gabriela Pasturczak</cp:lastModifiedBy>
  <cp:revision>2</cp:revision>
  <cp:lastPrinted>2023-06-27T09:53:00Z</cp:lastPrinted>
  <dcterms:created xsi:type="dcterms:W3CDTF">2023-06-27T10:18:00Z</dcterms:created>
  <dcterms:modified xsi:type="dcterms:W3CDTF">2023-06-27T10:18:00Z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2022-07-11T09:32:06Z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7d3d246d-c000-41f8-b3e2-a832bbc9c906</vt:lpwstr>
  </property>
  <property fmtid="{D5CDD505-2E9C-101B-9397-08002B2CF9AE}" pid="8" name="MSIP_Label_50945193-57ff-457d-9504-518e9bfb59a9_ContentBits">
    <vt:lpwstr>0</vt:lpwstr>
  </property>
</Properties>
</file>