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ED79D" w14:textId="27A58E16" w:rsidR="00373F8E" w:rsidRPr="009751C1" w:rsidRDefault="009751C1" w:rsidP="00B641CC">
      <w:pPr>
        <w:spacing w:line="360" w:lineRule="auto"/>
        <w:jc w:val="center"/>
        <w:outlineLvl w:val="0"/>
        <w:rPr>
          <w:rFonts w:ascii="Calibri" w:hAnsi="Calibri"/>
          <w:b/>
          <w:sz w:val="28"/>
        </w:rPr>
      </w:pPr>
      <w:r w:rsidRPr="009751C1">
        <w:rPr>
          <w:rFonts w:ascii="Calibri" w:hAnsi="Calibri"/>
          <w:b/>
          <w:sz w:val="32"/>
        </w:rPr>
        <w:t xml:space="preserve">Zarządzenie nr </w:t>
      </w:r>
      <w:r w:rsidR="002D6901" w:rsidRPr="009751C1">
        <w:rPr>
          <w:rFonts w:ascii="Calibri" w:hAnsi="Calibri"/>
          <w:b/>
          <w:sz w:val="32"/>
        </w:rPr>
        <w:t>7</w:t>
      </w:r>
      <w:r w:rsidR="003D574C" w:rsidRPr="009751C1">
        <w:rPr>
          <w:rFonts w:ascii="Calibri" w:hAnsi="Calibri"/>
          <w:b/>
          <w:sz w:val="32"/>
        </w:rPr>
        <w:t>3</w:t>
      </w:r>
      <w:r>
        <w:rPr>
          <w:rFonts w:ascii="Calibri" w:hAnsi="Calibri"/>
          <w:b/>
          <w:sz w:val="32"/>
        </w:rPr>
        <w:br/>
      </w:r>
      <w:r w:rsidR="00373F8E" w:rsidRPr="009751C1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>
        <w:rPr>
          <w:rFonts w:ascii="Calibri" w:hAnsi="Calibri"/>
          <w:b/>
          <w:sz w:val="28"/>
          <w:szCs w:val="28"/>
        </w:rPr>
        <w:br/>
      </w:r>
      <w:r w:rsidR="00373F8E" w:rsidRPr="009751C1">
        <w:rPr>
          <w:rFonts w:ascii="Calibri" w:hAnsi="Calibri"/>
          <w:b/>
          <w:sz w:val="28"/>
        </w:rPr>
        <w:t xml:space="preserve">z dnia </w:t>
      </w:r>
      <w:r w:rsidR="002D6901" w:rsidRPr="009751C1">
        <w:rPr>
          <w:rFonts w:ascii="Calibri" w:hAnsi="Calibri"/>
          <w:b/>
          <w:sz w:val="28"/>
        </w:rPr>
        <w:t>26</w:t>
      </w:r>
      <w:r w:rsidR="00E559D6" w:rsidRPr="009751C1">
        <w:rPr>
          <w:rFonts w:ascii="Calibri" w:hAnsi="Calibri"/>
          <w:b/>
          <w:sz w:val="28"/>
        </w:rPr>
        <w:t xml:space="preserve"> maja 2022 r. </w:t>
      </w:r>
    </w:p>
    <w:p w14:paraId="46F266E5" w14:textId="77777777" w:rsidR="00373F8E" w:rsidRPr="009751C1" w:rsidRDefault="00373F8E" w:rsidP="00B641CC">
      <w:pPr>
        <w:spacing w:before="120" w:after="240" w:line="360" w:lineRule="auto"/>
        <w:jc w:val="center"/>
        <w:outlineLvl w:val="1"/>
        <w:rPr>
          <w:rFonts w:ascii="Calibri" w:hAnsi="Calibri"/>
          <w:b/>
          <w:sz w:val="24"/>
        </w:rPr>
      </w:pPr>
      <w:r w:rsidRPr="009751C1">
        <w:rPr>
          <w:rFonts w:ascii="Calibri" w:hAnsi="Calibri"/>
          <w:b/>
          <w:sz w:val="24"/>
        </w:rPr>
        <w:t>w sprawie</w:t>
      </w:r>
      <w:r w:rsidRPr="009751C1">
        <w:rPr>
          <w:rFonts w:ascii="Calibri" w:hAnsi="Calibri"/>
          <w:sz w:val="24"/>
        </w:rPr>
        <w:t xml:space="preserve"> </w:t>
      </w:r>
      <w:r w:rsidRPr="009751C1">
        <w:rPr>
          <w:rFonts w:ascii="Calibri" w:hAnsi="Calibri"/>
          <w:b/>
          <w:sz w:val="24"/>
        </w:rPr>
        <w:t>Polityki zarządzania ryzykiem</w:t>
      </w:r>
      <w:r w:rsidR="00B92586" w:rsidRPr="009751C1">
        <w:rPr>
          <w:rFonts w:ascii="Calibri" w:hAnsi="Calibri"/>
          <w:b/>
          <w:sz w:val="24"/>
        </w:rPr>
        <w:br/>
      </w:r>
      <w:r w:rsidRPr="009751C1">
        <w:rPr>
          <w:rFonts w:ascii="Calibri" w:hAnsi="Calibri"/>
          <w:b/>
          <w:sz w:val="24"/>
        </w:rPr>
        <w:t>w Zachodniopomorskim Uniwersytecie Technologicznym w Szczecinie</w:t>
      </w:r>
    </w:p>
    <w:p w14:paraId="5C623642" w14:textId="5C99FE8E" w:rsidR="00373F8E" w:rsidRPr="009751C1" w:rsidRDefault="00373F8E" w:rsidP="009751C1">
      <w:pPr>
        <w:spacing w:line="360" w:lineRule="auto"/>
        <w:rPr>
          <w:rFonts w:ascii="Calibri" w:hAnsi="Calibri"/>
          <w:sz w:val="24"/>
        </w:rPr>
      </w:pPr>
      <w:r w:rsidRPr="009751C1">
        <w:rPr>
          <w:rFonts w:ascii="Calibri" w:hAnsi="Calibri"/>
          <w:bCs/>
          <w:sz w:val="24"/>
        </w:rPr>
        <w:t>Na podstawie art. 23 ustawy z dnia 20 lipca 2018 r. Prawo o szkolnictwie wyższym i nauce (tekst</w:t>
      </w:r>
      <w:r w:rsidR="009751C1">
        <w:rPr>
          <w:rFonts w:ascii="Calibri" w:hAnsi="Calibri"/>
          <w:bCs/>
          <w:sz w:val="24"/>
        </w:rPr>
        <w:t> </w:t>
      </w:r>
      <w:r w:rsidRPr="009751C1">
        <w:rPr>
          <w:rFonts w:ascii="Calibri" w:hAnsi="Calibri"/>
          <w:bCs/>
          <w:sz w:val="24"/>
        </w:rPr>
        <w:t xml:space="preserve">jedn. Dz. U. z 2022 r. poz. 574, z późn. zm.), </w:t>
      </w:r>
      <w:r w:rsidRPr="009751C1">
        <w:rPr>
          <w:rFonts w:ascii="Calibri" w:hAnsi="Calibri"/>
          <w:sz w:val="24"/>
        </w:rPr>
        <w:t xml:space="preserve">w związku z art. 69 ust. 1 </w:t>
      </w:r>
      <w:r w:rsidR="00B92586" w:rsidRPr="009751C1">
        <w:rPr>
          <w:rFonts w:ascii="Calibri" w:hAnsi="Calibri"/>
          <w:sz w:val="24"/>
        </w:rPr>
        <w:t xml:space="preserve">pkt 3 </w:t>
      </w:r>
      <w:r w:rsidRPr="009751C1">
        <w:rPr>
          <w:rFonts w:ascii="Calibri" w:hAnsi="Calibri"/>
          <w:sz w:val="24"/>
        </w:rPr>
        <w:t>ustawy z dnia 27</w:t>
      </w:r>
      <w:r w:rsidR="009751C1">
        <w:rPr>
          <w:rFonts w:ascii="Calibri" w:hAnsi="Calibri"/>
          <w:sz w:val="24"/>
        </w:rPr>
        <w:t> </w:t>
      </w:r>
      <w:r w:rsidRPr="009751C1">
        <w:rPr>
          <w:rFonts w:ascii="Calibri" w:hAnsi="Calibri"/>
          <w:sz w:val="24"/>
        </w:rPr>
        <w:t>sierpnia 2009 r. o finansach publicznych (</w:t>
      </w:r>
      <w:r w:rsidR="005E5852" w:rsidRPr="009751C1">
        <w:rPr>
          <w:rFonts w:ascii="Calibri" w:hAnsi="Calibri"/>
          <w:sz w:val="24"/>
        </w:rPr>
        <w:t xml:space="preserve">tekst jedn. </w:t>
      </w:r>
      <w:r w:rsidRPr="009751C1">
        <w:rPr>
          <w:rFonts w:ascii="Calibri" w:hAnsi="Calibri"/>
          <w:sz w:val="24"/>
        </w:rPr>
        <w:t xml:space="preserve">Dz. U. </w:t>
      </w:r>
      <w:r w:rsidR="005E5852" w:rsidRPr="009751C1">
        <w:rPr>
          <w:rFonts w:ascii="Calibri" w:hAnsi="Calibri"/>
          <w:sz w:val="24"/>
        </w:rPr>
        <w:t>z 2021 r. poz. 305</w:t>
      </w:r>
      <w:r w:rsidR="00B92586" w:rsidRPr="009751C1">
        <w:rPr>
          <w:rFonts w:ascii="Calibri" w:hAnsi="Calibri"/>
          <w:sz w:val="24"/>
        </w:rPr>
        <w:t>, z późn. zm.</w:t>
      </w:r>
      <w:r w:rsidRPr="009751C1">
        <w:rPr>
          <w:rFonts w:ascii="Calibri" w:hAnsi="Calibri"/>
          <w:sz w:val="24"/>
        </w:rPr>
        <w:t xml:space="preserve">) zarządza się, co następuje: </w:t>
      </w:r>
    </w:p>
    <w:p w14:paraId="3EC85E5D" w14:textId="1F09AAFC" w:rsidR="00373F8E" w:rsidRPr="009751C1" w:rsidRDefault="00373F8E" w:rsidP="00B641CC">
      <w:pPr>
        <w:spacing w:line="360" w:lineRule="auto"/>
        <w:jc w:val="center"/>
        <w:outlineLvl w:val="1"/>
        <w:rPr>
          <w:rFonts w:ascii="Calibri" w:hAnsi="Calibri"/>
          <w:b/>
          <w:sz w:val="24"/>
        </w:rPr>
      </w:pPr>
      <w:r w:rsidRPr="009751C1">
        <w:rPr>
          <w:rFonts w:ascii="Calibri" w:hAnsi="Calibri"/>
          <w:b/>
          <w:sz w:val="24"/>
        </w:rPr>
        <w:t>§ 1</w:t>
      </w:r>
      <w:r w:rsidR="00E72C71" w:rsidRPr="009751C1">
        <w:rPr>
          <w:rFonts w:ascii="Calibri" w:hAnsi="Calibri"/>
          <w:b/>
          <w:sz w:val="24"/>
        </w:rPr>
        <w:t>.</w:t>
      </w:r>
    </w:p>
    <w:p w14:paraId="27D8EE34" w14:textId="77777777" w:rsidR="00373F8E" w:rsidRPr="009751C1" w:rsidRDefault="00373F8E" w:rsidP="009751C1">
      <w:pPr>
        <w:spacing w:line="360" w:lineRule="auto"/>
        <w:rPr>
          <w:rFonts w:ascii="Calibri" w:hAnsi="Calibri"/>
          <w:sz w:val="24"/>
        </w:rPr>
      </w:pPr>
      <w:r w:rsidRPr="009751C1">
        <w:rPr>
          <w:rFonts w:ascii="Calibri" w:hAnsi="Calibri"/>
          <w:sz w:val="24"/>
        </w:rPr>
        <w:t xml:space="preserve">Wprowadza się Politykę zarządzania ryzykiem w Zachodniopomorskim Uniwersytecie Technologicznym w Szczecinie, która stanowi załącznik do niniejszego zarządzenia. </w:t>
      </w:r>
    </w:p>
    <w:p w14:paraId="48370141" w14:textId="50F14DA1" w:rsidR="00373F8E" w:rsidRPr="009751C1" w:rsidRDefault="00373F8E" w:rsidP="00B641CC">
      <w:pPr>
        <w:spacing w:before="240" w:line="360" w:lineRule="auto"/>
        <w:jc w:val="center"/>
        <w:outlineLvl w:val="1"/>
        <w:rPr>
          <w:rFonts w:ascii="Calibri" w:hAnsi="Calibri"/>
          <w:b/>
          <w:sz w:val="24"/>
        </w:rPr>
      </w:pPr>
      <w:r w:rsidRPr="009751C1">
        <w:rPr>
          <w:rFonts w:ascii="Calibri" w:hAnsi="Calibri"/>
          <w:b/>
          <w:sz w:val="24"/>
        </w:rPr>
        <w:t>§ 2</w:t>
      </w:r>
      <w:r w:rsidR="00E72C71" w:rsidRPr="009751C1">
        <w:rPr>
          <w:rFonts w:ascii="Calibri" w:hAnsi="Calibri"/>
          <w:b/>
          <w:sz w:val="24"/>
        </w:rPr>
        <w:t>.</w:t>
      </w:r>
    </w:p>
    <w:p w14:paraId="0137F595" w14:textId="77777777" w:rsidR="00373F8E" w:rsidRPr="009751C1" w:rsidRDefault="00373F8E" w:rsidP="009751C1">
      <w:pPr>
        <w:spacing w:line="360" w:lineRule="auto"/>
        <w:rPr>
          <w:rFonts w:ascii="Calibri" w:hAnsi="Calibri"/>
          <w:sz w:val="24"/>
        </w:rPr>
      </w:pPr>
      <w:r w:rsidRPr="009751C1">
        <w:rPr>
          <w:rFonts w:ascii="Calibri" w:hAnsi="Calibri"/>
          <w:sz w:val="24"/>
        </w:rPr>
        <w:t xml:space="preserve">Traci moc zarządzenie nr 58 Rektora ZUT z dnia 5 lipca 2010 r. w sprawie </w:t>
      </w:r>
      <w:r w:rsidRPr="009751C1">
        <w:rPr>
          <w:rFonts w:ascii="Calibri" w:hAnsi="Calibri"/>
          <w:bCs/>
          <w:sz w:val="24"/>
        </w:rPr>
        <w:t>wprowadzenia „Polityki zarządzania ryzykiem w Zachodniopomorskim Uniwersytecie Technologicznym w Szczecinie”</w:t>
      </w:r>
      <w:r w:rsidR="004341BF" w:rsidRPr="009751C1">
        <w:rPr>
          <w:rFonts w:ascii="Calibri" w:hAnsi="Calibri"/>
          <w:bCs/>
          <w:sz w:val="24"/>
        </w:rPr>
        <w:t>.</w:t>
      </w:r>
    </w:p>
    <w:p w14:paraId="5AD4F5DF" w14:textId="543BE949" w:rsidR="00373F8E" w:rsidRPr="009751C1" w:rsidRDefault="00373F8E" w:rsidP="00B641CC">
      <w:pPr>
        <w:spacing w:before="240" w:line="360" w:lineRule="auto"/>
        <w:jc w:val="center"/>
        <w:outlineLvl w:val="1"/>
        <w:rPr>
          <w:rFonts w:ascii="Calibri" w:hAnsi="Calibri"/>
          <w:b/>
          <w:sz w:val="24"/>
        </w:rPr>
      </w:pPr>
      <w:r w:rsidRPr="009751C1">
        <w:rPr>
          <w:rFonts w:ascii="Calibri" w:hAnsi="Calibri"/>
          <w:b/>
          <w:sz w:val="24"/>
        </w:rPr>
        <w:t>§ 3</w:t>
      </w:r>
      <w:r w:rsidR="00E72C71" w:rsidRPr="009751C1">
        <w:rPr>
          <w:rFonts w:ascii="Calibri" w:hAnsi="Calibri"/>
          <w:b/>
          <w:sz w:val="24"/>
        </w:rPr>
        <w:t>.</w:t>
      </w:r>
    </w:p>
    <w:p w14:paraId="36E95450" w14:textId="77777777" w:rsidR="00373F8E" w:rsidRPr="009751C1" w:rsidRDefault="00373F8E" w:rsidP="009751C1">
      <w:pPr>
        <w:spacing w:line="360" w:lineRule="auto"/>
        <w:jc w:val="both"/>
        <w:rPr>
          <w:rFonts w:ascii="Calibri" w:hAnsi="Calibri"/>
          <w:sz w:val="24"/>
        </w:rPr>
      </w:pPr>
      <w:r w:rsidRPr="009751C1">
        <w:rPr>
          <w:rFonts w:ascii="Calibri" w:hAnsi="Calibri"/>
          <w:sz w:val="24"/>
        </w:rPr>
        <w:t>Zarządzenie wchodzi w życie z dniem podpisania.</w:t>
      </w:r>
    </w:p>
    <w:p w14:paraId="3001F826" w14:textId="5376BA24" w:rsidR="00373F8E" w:rsidRPr="009751C1" w:rsidRDefault="00373F8E" w:rsidP="009751C1">
      <w:pPr>
        <w:spacing w:after="600" w:line="720" w:lineRule="auto"/>
        <w:ind w:left="3969"/>
        <w:jc w:val="center"/>
        <w:rPr>
          <w:rFonts w:ascii="Calibri" w:hAnsi="Calibri"/>
          <w:sz w:val="24"/>
        </w:rPr>
      </w:pPr>
      <w:r w:rsidRPr="009751C1">
        <w:rPr>
          <w:rFonts w:ascii="Calibri" w:hAnsi="Calibri"/>
          <w:sz w:val="24"/>
        </w:rPr>
        <w:t>Rektor</w:t>
      </w:r>
      <w:r w:rsidR="009751C1">
        <w:rPr>
          <w:rFonts w:ascii="Calibri" w:hAnsi="Calibri"/>
          <w:sz w:val="24"/>
        </w:rPr>
        <w:br/>
      </w:r>
      <w:r w:rsidRPr="009751C1">
        <w:rPr>
          <w:rFonts w:ascii="Calibri" w:hAnsi="Calibri"/>
          <w:sz w:val="24"/>
        </w:rPr>
        <w:t xml:space="preserve">dr hab. inż. Jacek Wróbel, prof. ZUT </w:t>
      </w:r>
    </w:p>
    <w:p w14:paraId="5699A943" w14:textId="3009B22B" w:rsidR="00CA4BE6" w:rsidRPr="009751C1" w:rsidRDefault="00373F8E" w:rsidP="009751C1">
      <w:pPr>
        <w:spacing w:line="360" w:lineRule="auto"/>
        <w:jc w:val="right"/>
        <w:rPr>
          <w:rFonts w:ascii="Calibri" w:hAnsi="Calibri"/>
          <w:bCs/>
          <w:sz w:val="22"/>
          <w:szCs w:val="22"/>
        </w:rPr>
      </w:pPr>
      <w:r w:rsidRPr="009751C1">
        <w:rPr>
          <w:rFonts w:ascii="Calibri" w:hAnsi="Calibri"/>
          <w:b/>
          <w:sz w:val="22"/>
        </w:rPr>
        <w:br w:type="page"/>
      </w:r>
      <w:r w:rsidR="00CA4BE6" w:rsidRPr="009751C1">
        <w:rPr>
          <w:rFonts w:ascii="Calibri" w:hAnsi="Calibri"/>
          <w:bCs/>
          <w:sz w:val="22"/>
          <w:szCs w:val="22"/>
        </w:rPr>
        <w:lastRenderedPageBreak/>
        <w:t xml:space="preserve">Załącznik </w:t>
      </w:r>
      <w:r w:rsidR="00C7465D" w:rsidRPr="009751C1">
        <w:rPr>
          <w:rFonts w:ascii="Calibri" w:hAnsi="Calibri"/>
          <w:bCs/>
          <w:sz w:val="22"/>
          <w:szCs w:val="22"/>
        </w:rPr>
        <w:br/>
      </w:r>
      <w:r w:rsidR="00CA4BE6" w:rsidRPr="009751C1">
        <w:rPr>
          <w:rFonts w:ascii="Calibri" w:hAnsi="Calibri"/>
          <w:bCs/>
          <w:sz w:val="22"/>
          <w:szCs w:val="22"/>
        </w:rPr>
        <w:t xml:space="preserve">do zarządzenia nr </w:t>
      </w:r>
      <w:r w:rsidR="002D6901" w:rsidRPr="009751C1">
        <w:rPr>
          <w:rFonts w:ascii="Calibri" w:hAnsi="Calibri"/>
          <w:bCs/>
          <w:sz w:val="22"/>
          <w:szCs w:val="22"/>
        </w:rPr>
        <w:t>7</w:t>
      </w:r>
      <w:r w:rsidR="003D574C" w:rsidRPr="009751C1">
        <w:rPr>
          <w:rFonts w:ascii="Calibri" w:hAnsi="Calibri"/>
          <w:bCs/>
          <w:sz w:val="22"/>
          <w:szCs w:val="22"/>
        </w:rPr>
        <w:t>3</w:t>
      </w:r>
      <w:r w:rsidR="00CA4BE6" w:rsidRPr="009751C1">
        <w:rPr>
          <w:rFonts w:ascii="Calibri" w:hAnsi="Calibri"/>
          <w:bCs/>
          <w:sz w:val="22"/>
          <w:szCs w:val="22"/>
        </w:rPr>
        <w:t xml:space="preserve"> Rektora ZUT z dnia </w:t>
      </w:r>
      <w:r w:rsidR="002D6901" w:rsidRPr="009751C1">
        <w:rPr>
          <w:rFonts w:ascii="Calibri" w:hAnsi="Calibri"/>
          <w:bCs/>
          <w:sz w:val="22"/>
          <w:szCs w:val="22"/>
        </w:rPr>
        <w:t xml:space="preserve">26 </w:t>
      </w:r>
      <w:r w:rsidR="00CA4BE6" w:rsidRPr="009751C1">
        <w:rPr>
          <w:rFonts w:ascii="Calibri" w:hAnsi="Calibri"/>
          <w:bCs/>
          <w:sz w:val="22"/>
          <w:szCs w:val="22"/>
        </w:rPr>
        <w:t xml:space="preserve">maja 2022 r. </w:t>
      </w:r>
    </w:p>
    <w:p w14:paraId="5FFF58EA" w14:textId="77777777" w:rsidR="00B302D0" w:rsidRPr="009751C1" w:rsidRDefault="00B92586" w:rsidP="009751C1">
      <w:pPr>
        <w:pStyle w:val="Nagwek1"/>
        <w:spacing w:before="240" w:line="360" w:lineRule="auto"/>
        <w:rPr>
          <w:rFonts w:ascii="Calibri" w:hAnsi="Calibri"/>
          <w:bCs/>
          <w:sz w:val="26"/>
          <w:szCs w:val="26"/>
        </w:rPr>
      </w:pPr>
      <w:r w:rsidRPr="009751C1">
        <w:rPr>
          <w:rFonts w:ascii="Calibri" w:hAnsi="Calibri"/>
        </w:rPr>
        <w:t>Polityka zarz</w:t>
      </w:r>
      <w:r w:rsidR="00C7465D" w:rsidRPr="009751C1">
        <w:rPr>
          <w:rFonts w:ascii="Calibri" w:hAnsi="Calibri"/>
        </w:rPr>
        <w:t>ą</w:t>
      </w:r>
      <w:r w:rsidRPr="009751C1">
        <w:rPr>
          <w:rFonts w:ascii="Calibri" w:hAnsi="Calibri"/>
        </w:rPr>
        <w:t>dzania ryzykiem</w:t>
      </w:r>
      <w:r w:rsidR="007334E0" w:rsidRPr="009751C1">
        <w:rPr>
          <w:rFonts w:ascii="Calibri" w:hAnsi="Calibri"/>
        </w:rPr>
        <w:br/>
      </w:r>
      <w:r w:rsidRPr="009751C1">
        <w:rPr>
          <w:rFonts w:ascii="Calibri" w:hAnsi="Calibri"/>
          <w:bCs/>
          <w:sz w:val="26"/>
          <w:szCs w:val="26"/>
        </w:rPr>
        <w:t>w Zachodniopomorskim Uniwersytecie Technologicznym w Szczecinie</w:t>
      </w:r>
    </w:p>
    <w:p w14:paraId="6202E039" w14:textId="77777777" w:rsidR="00B302D0" w:rsidRPr="009751C1" w:rsidRDefault="00B302D0" w:rsidP="00B641CC">
      <w:pPr>
        <w:pStyle w:val="Rozdzia"/>
      </w:pPr>
      <w:r w:rsidRPr="009751C1">
        <w:t xml:space="preserve">Deklaracja i cele polityki zarządzania ryzykiem </w:t>
      </w:r>
    </w:p>
    <w:p w14:paraId="54D96414" w14:textId="61D15158" w:rsidR="003D2E4A" w:rsidRPr="009751C1" w:rsidRDefault="00C75BDA" w:rsidP="00B641CC">
      <w:pPr>
        <w:spacing w:line="360" w:lineRule="auto"/>
        <w:ind w:left="340"/>
        <w:rPr>
          <w:rFonts w:ascii="Calibri" w:hAnsi="Calibri"/>
          <w:sz w:val="24"/>
          <w:szCs w:val="24"/>
        </w:rPr>
      </w:pPr>
      <w:r w:rsidRPr="009751C1">
        <w:rPr>
          <w:rFonts w:ascii="Calibri" w:hAnsi="Calibri"/>
          <w:sz w:val="24"/>
          <w:szCs w:val="24"/>
        </w:rPr>
        <w:t xml:space="preserve">Zachodniopomorski Uniwersytet Technologiczny w Szczecinie, zwany dalej „Uczelnią” </w:t>
      </w:r>
      <w:r w:rsidR="007B5FFD" w:rsidRPr="009751C1">
        <w:rPr>
          <w:rFonts w:ascii="Calibri" w:hAnsi="Calibri"/>
          <w:sz w:val="24"/>
          <w:szCs w:val="24"/>
        </w:rPr>
        <w:t>albo</w:t>
      </w:r>
      <w:r w:rsidR="00B641CC">
        <w:rPr>
          <w:rFonts w:ascii="Calibri" w:hAnsi="Calibri"/>
          <w:sz w:val="24"/>
          <w:szCs w:val="24"/>
        </w:rPr>
        <w:t> </w:t>
      </w:r>
      <w:r w:rsidR="00ED2409" w:rsidRPr="009751C1">
        <w:rPr>
          <w:rFonts w:ascii="Calibri" w:hAnsi="Calibri"/>
          <w:sz w:val="24"/>
          <w:szCs w:val="24"/>
        </w:rPr>
        <w:t>„ZUT”</w:t>
      </w:r>
      <w:r w:rsidR="007334E0" w:rsidRPr="009751C1">
        <w:rPr>
          <w:rFonts w:ascii="Calibri" w:hAnsi="Calibri"/>
          <w:sz w:val="24"/>
          <w:szCs w:val="24"/>
        </w:rPr>
        <w:t>,</w:t>
      </w:r>
      <w:r w:rsidR="00ED2409" w:rsidRPr="009751C1">
        <w:rPr>
          <w:rFonts w:ascii="Calibri" w:hAnsi="Calibri"/>
          <w:sz w:val="24"/>
          <w:szCs w:val="24"/>
        </w:rPr>
        <w:t xml:space="preserve"> </w:t>
      </w:r>
      <w:r w:rsidRPr="009751C1">
        <w:rPr>
          <w:rFonts w:ascii="Calibri" w:hAnsi="Calibri"/>
          <w:sz w:val="24"/>
          <w:szCs w:val="24"/>
        </w:rPr>
        <w:t xml:space="preserve">prowadzi politykę zarządzania ryzykiem przejawiającą się </w:t>
      </w:r>
      <w:r w:rsidR="00B62CF8" w:rsidRPr="009751C1">
        <w:rPr>
          <w:rFonts w:ascii="Calibri" w:hAnsi="Calibri"/>
          <w:sz w:val="24"/>
          <w:szCs w:val="24"/>
        </w:rPr>
        <w:t>działaniach</w:t>
      </w:r>
      <w:r w:rsidRPr="009751C1">
        <w:rPr>
          <w:rFonts w:ascii="Calibri" w:hAnsi="Calibri"/>
          <w:sz w:val="24"/>
          <w:szCs w:val="24"/>
        </w:rPr>
        <w:t xml:space="preserve"> </w:t>
      </w:r>
      <w:r w:rsidR="00844FBE" w:rsidRPr="009751C1">
        <w:rPr>
          <w:rFonts w:ascii="Calibri" w:hAnsi="Calibri"/>
          <w:sz w:val="24"/>
          <w:szCs w:val="24"/>
        </w:rPr>
        <w:t>mających na</w:t>
      </w:r>
      <w:r w:rsidR="00B641CC">
        <w:rPr>
          <w:rFonts w:ascii="Calibri" w:hAnsi="Calibri"/>
          <w:sz w:val="24"/>
          <w:szCs w:val="24"/>
        </w:rPr>
        <w:t> </w:t>
      </w:r>
      <w:r w:rsidR="00844FBE" w:rsidRPr="009751C1">
        <w:rPr>
          <w:rFonts w:ascii="Calibri" w:hAnsi="Calibri"/>
          <w:sz w:val="24"/>
          <w:szCs w:val="24"/>
        </w:rPr>
        <w:t xml:space="preserve">celu </w:t>
      </w:r>
      <w:r w:rsidRPr="009751C1">
        <w:rPr>
          <w:rFonts w:ascii="Calibri" w:hAnsi="Calibri"/>
          <w:sz w:val="24"/>
          <w:szCs w:val="24"/>
        </w:rPr>
        <w:t>identyfikacj</w:t>
      </w:r>
      <w:r w:rsidR="00844FBE" w:rsidRPr="009751C1">
        <w:rPr>
          <w:rFonts w:ascii="Calibri" w:hAnsi="Calibri"/>
          <w:sz w:val="24"/>
          <w:szCs w:val="24"/>
        </w:rPr>
        <w:t>ę</w:t>
      </w:r>
      <w:r w:rsidRPr="009751C1">
        <w:rPr>
          <w:rFonts w:ascii="Calibri" w:hAnsi="Calibri"/>
          <w:sz w:val="24"/>
          <w:szCs w:val="24"/>
        </w:rPr>
        <w:t xml:space="preserve"> i ocen</w:t>
      </w:r>
      <w:r w:rsidR="00844FBE" w:rsidRPr="009751C1">
        <w:rPr>
          <w:rFonts w:ascii="Calibri" w:hAnsi="Calibri"/>
          <w:sz w:val="24"/>
          <w:szCs w:val="24"/>
        </w:rPr>
        <w:t>ę</w:t>
      </w:r>
      <w:r w:rsidRPr="009751C1">
        <w:rPr>
          <w:rFonts w:ascii="Calibri" w:hAnsi="Calibri"/>
          <w:sz w:val="24"/>
          <w:szCs w:val="24"/>
        </w:rPr>
        <w:t xml:space="preserve"> ryzyk</w:t>
      </w:r>
      <w:r w:rsidR="005C4839" w:rsidRPr="009751C1">
        <w:rPr>
          <w:rFonts w:ascii="Calibri" w:hAnsi="Calibri"/>
          <w:sz w:val="24"/>
          <w:szCs w:val="24"/>
        </w:rPr>
        <w:t>a</w:t>
      </w:r>
      <w:r w:rsidRPr="009751C1">
        <w:rPr>
          <w:rFonts w:ascii="Calibri" w:hAnsi="Calibri"/>
          <w:sz w:val="24"/>
          <w:szCs w:val="24"/>
        </w:rPr>
        <w:t xml:space="preserve"> </w:t>
      </w:r>
      <w:r w:rsidR="00001609" w:rsidRPr="009751C1">
        <w:rPr>
          <w:rFonts w:ascii="Calibri" w:hAnsi="Calibri"/>
          <w:sz w:val="24"/>
          <w:szCs w:val="24"/>
        </w:rPr>
        <w:t xml:space="preserve">mającego wpływ na </w:t>
      </w:r>
      <w:r w:rsidR="00ED2409" w:rsidRPr="009751C1">
        <w:rPr>
          <w:rFonts w:ascii="Calibri" w:hAnsi="Calibri"/>
          <w:sz w:val="24"/>
          <w:szCs w:val="24"/>
        </w:rPr>
        <w:t>realizację</w:t>
      </w:r>
      <w:r w:rsidR="00001609" w:rsidRPr="009751C1">
        <w:rPr>
          <w:rFonts w:ascii="Calibri" w:hAnsi="Calibri"/>
          <w:sz w:val="24"/>
          <w:szCs w:val="24"/>
        </w:rPr>
        <w:t xml:space="preserve"> </w:t>
      </w:r>
      <w:r w:rsidRPr="009751C1">
        <w:rPr>
          <w:rFonts w:ascii="Calibri" w:hAnsi="Calibri"/>
          <w:sz w:val="24"/>
          <w:szCs w:val="24"/>
        </w:rPr>
        <w:t xml:space="preserve">celów </w:t>
      </w:r>
      <w:r w:rsidR="002A2090" w:rsidRPr="009751C1">
        <w:rPr>
          <w:rFonts w:ascii="Calibri" w:hAnsi="Calibri"/>
          <w:sz w:val="24"/>
          <w:szCs w:val="24"/>
        </w:rPr>
        <w:t xml:space="preserve">i zadań </w:t>
      </w:r>
      <w:r w:rsidRPr="009751C1">
        <w:rPr>
          <w:rFonts w:ascii="Calibri" w:hAnsi="Calibri"/>
          <w:sz w:val="24"/>
          <w:szCs w:val="24"/>
        </w:rPr>
        <w:t>Uczelni</w:t>
      </w:r>
      <w:r w:rsidR="00B62CF8" w:rsidRPr="009751C1">
        <w:rPr>
          <w:rFonts w:ascii="Calibri" w:hAnsi="Calibri"/>
          <w:sz w:val="24"/>
          <w:szCs w:val="24"/>
        </w:rPr>
        <w:t xml:space="preserve"> oraz</w:t>
      </w:r>
      <w:r w:rsidR="00B641CC">
        <w:rPr>
          <w:rFonts w:ascii="Calibri" w:hAnsi="Calibri"/>
          <w:sz w:val="24"/>
          <w:szCs w:val="24"/>
        </w:rPr>
        <w:t> </w:t>
      </w:r>
      <w:r w:rsidR="00FA434A" w:rsidRPr="009751C1">
        <w:rPr>
          <w:rFonts w:ascii="Calibri" w:hAnsi="Calibri"/>
          <w:sz w:val="24"/>
          <w:szCs w:val="24"/>
        </w:rPr>
        <w:t>w</w:t>
      </w:r>
      <w:r w:rsidR="007334E0" w:rsidRPr="009751C1">
        <w:rPr>
          <w:rFonts w:ascii="Calibri" w:hAnsi="Calibri"/>
          <w:sz w:val="24"/>
          <w:szCs w:val="24"/>
        </w:rPr>
        <w:t> </w:t>
      </w:r>
      <w:r w:rsidR="005C4839" w:rsidRPr="009751C1">
        <w:rPr>
          <w:rFonts w:ascii="Calibri" w:hAnsi="Calibri"/>
          <w:sz w:val="24"/>
          <w:szCs w:val="24"/>
        </w:rPr>
        <w:t xml:space="preserve">działaniach </w:t>
      </w:r>
      <w:r w:rsidR="00844FBE" w:rsidRPr="009751C1">
        <w:rPr>
          <w:rFonts w:ascii="Calibri" w:hAnsi="Calibri"/>
          <w:sz w:val="24"/>
          <w:szCs w:val="24"/>
        </w:rPr>
        <w:t xml:space="preserve">zmierzających do </w:t>
      </w:r>
      <w:r w:rsidR="005C4839" w:rsidRPr="009751C1">
        <w:rPr>
          <w:rFonts w:ascii="Calibri" w:hAnsi="Calibri"/>
          <w:sz w:val="24"/>
          <w:szCs w:val="24"/>
        </w:rPr>
        <w:t>o</w:t>
      </w:r>
      <w:r w:rsidR="00221642" w:rsidRPr="009751C1">
        <w:rPr>
          <w:rFonts w:ascii="Calibri" w:hAnsi="Calibri"/>
          <w:sz w:val="24"/>
          <w:szCs w:val="24"/>
        </w:rPr>
        <w:t>bniżeni</w:t>
      </w:r>
      <w:r w:rsidR="00844FBE" w:rsidRPr="009751C1">
        <w:rPr>
          <w:rFonts w:ascii="Calibri" w:hAnsi="Calibri"/>
          <w:sz w:val="24"/>
          <w:szCs w:val="24"/>
        </w:rPr>
        <w:t>a</w:t>
      </w:r>
      <w:r w:rsidR="005C4839" w:rsidRPr="009751C1">
        <w:rPr>
          <w:rFonts w:ascii="Calibri" w:hAnsi="Calibri"/>
          <w:sz w:val="24"/>
          <w:szCs w:val="24"/>
        </w:rPr>
        <w:t xml:space="preserve"> </w:t>
      </w:r>
      <w:r w:rsidR="003D2E4A" w:rsidRPr="009751C1">
        <w:rPr>
          <w:rFonts w:ascii="Calibri" w:hAnsi="Calibri"/>
          <w:sz w:val="24"/>
          <w:szCs w:val="24"/>
        </w:rPr>
        <w:t xml:space="preserve">ryzyka do </w:t>
      </w:r>
      <w:r w:rsidR="00221642" w:rsidRPr="009751C1">
        <w:rPr>
          <w:rFonts w:ascii="Calibri" w:hAnsi="Calibri"/>
          <w:sz w:val="24"/>
          <w:szCs w:val="24"/>
        </w:rPr>
        <w:t>a</w:t>
      </w:r>
      <w:r w:rsidR="003D2E4A" w:rsidRPr="009751C1">
        <w:rPr>
          <w:rFonts w:ascii="Calibri" w:hAnsi="Calibri"/>
          <w:sz w:val="24"/>
          <w:szCs w:val="24"/>
        </w:rPr>
        <w:t>kceptowanego poziomu</w:t>
      </w:r>
      <w:r w:rsidR="005B628B" w:rsidRPr="009751C1">
        <w:rPr>
          <w:rFonts w:ascii="Calibri" w:hAnsi="Calibri"/>
          <w:sz w:val="24"/>
          <w:szCs w:val="24"/>
        </w:rPr>
        <w:t>.</w:t>
      </w:r>
      <w:r w:rsidR="003D2E4A" w:rsidRPr="009751C1">
        <w:rPr>
          <w:rFonts w:ascii="Calibri" w:hAnsi="Calibri"/>
          <w:sz w:val="24"/>
          <w:szCs w:val="24"/>
        </w:rPr>
        <w:t xml:space="preserve"> </w:t>
      </w:r>
      <w:r w:rsidR="00B641CC">
        <w:rPr>
          <w:rFonts w:ascii="Calibri" w:hAnsi="Calibri"/>
          <w:sz w:val="24"/>
          <w:szCs w:val="24"/>
        </w:rPr>
        <w:br/>
      </w:r>
      <w:r w:rsidR="00A36937" w:rsidRPr="009751C1">
        <w:rPr>
          <w:rFonts w:ascii="Calibri" w:hAnsi="Calibri"/>
          <w:sz w:val="24"/>
          <w:szCs w:val="24"/>
        </w:rPr>
        <w:t>Celem polityki zarządzania ryzykiem jest:</w:t>
      </w:r>
    </w:p>
    <w:p w14:paraId="32E13ABE" w14:textId="2B3BA91D" w:rsidR="00F16BC7" w:rsidRPr="009751C1" w:rsidRDefault="00D12F4A" w:rsidP="00B641CC">
      <w:pPr>
        <w:numPr>
          <w:ilvl w:val="1"/>
          <w:numId w:val="16"/>
        </w:numPr>
        <w:spacing w:line="360" w:lineRule="auto"/>
        <w:ind w:left="709"/>
        <w:rPr>
          <w:rFonts w:ascii="Calibri" w:hAnsi="Calibri"/>
          <w:sz w:val="24"/>
          <w:szCs w:val="24"/>
        </w:rPr>
      </w:pPr>
      <w:r w:rsidRPr="009751C1">
        <w:rPr>
          <w:rFonts w:ascii="Calibri" w:hAnsi="Calibri"/>
          <w:sz w:val="24"/>
          <w:szCs w:val="24"/>
        </w:rPr>
        <w:t>realizacja</w:t>
      </w:r>
      <w:r w:rsidR="00A36937" w:rsidRPr="009751C1">
        <w:rPr>
          <w:rFonts w:ascii="Calibri" w:hAnsi="Calibri"/>
          <w:sz w:val="24"/>
          <w:szCs w:val="24"/>
        </w:rPr>
        <w:t xml:space="preserve"> przez Uczelnię celów</w:t>
      </w:r>
      <w:r w:rsidRPr="009751C1">
        <w:rPr>
          <w:rFonts w:ascii="Calibri" w:hAnsi="Calibri"/>
          <w:sz w:val="24"/>
          <w:szCs w:val="24"/>
        </w:rPr>
        <w:t xml:space="preserve"> </w:t>
      </w:r>
      <w:r w:rsidR="00A36937" w:rsidRPr="009751C1">
        <w:rPr>
          <w:rFonts w:ascii="Calibri" w:hAnsi="Calibri"/>
          <w:sz w:val="24"/>
          <w:szCs w:val="24"/>
        </w:rPr>
        <w:t>określonych</w:t>
      </w:r>
      <w:r w:rsidR="007334E0" w:rsidRPr="009751C1">
        <w:rPr>
          <w:rFonts w:ascii="Calibri" w:hAnsi="Calibri"/>
          <w:sz w:val="24"/>
          <w:szCs w:val="24"/>
        </w:rPr>
        <w:t>:</w:t>
      </w:r>
      <w:r w:rsidR="00A36937" w:rsidRPr="009751C1">
        <w:rPr>
          <w:rFonts w:ascii="Calibri" w:hAnsi="Calibri"/>
          <w:sz w:val="24"/>
          <w:szCs w:val="24"/>
        </w:rPr>
        <w:t xml:space="preserve"> </w:t>
      </w:r>
      <w:r w:rsidR="00537C1E" w:rsidRPr="009751C1">
        <w:rPr>
          <w:rFonts w:ascii="Calibri" w:hAnsi="Calibri"/>
          <w:sz w:val="24"/>
          <w:szCs w:val="24"/>
        </w:rPr>
        <w:t>w</w:t>
      </w:r>
      <w:r w:rsidR="00A36937" w:rsidRPr="009751C1">
        <w:rPr>
          <w:rFonts w:ascii="Calibri" w:hAnsi="Calibri"/>
          <w:sz w:val="24"/>
          <w:szCs w:val="24"/>
        </w:rPr>
        <w:t xml:space="preserve"> </w:t>
      </w:r>
      <w:bookmarkStart w:id="0" w:name="_Hlk103162041"/>
      <w:r w:rsidR="002A2090" w:rsidRPr="009751C1">
        <w:rPr>
          <w:rFonts w:ascii="Calibri" w:hAnsi="Calibri"/>
          <w:sz w:val="24"/>
          <w:szCs w:val="24"/>
        </w:rPr>
        <w:t xml:space="preserve">Strategii Rozwoju ZUT na lata </w:t>
      </w:r>
      <w:r w:rsidR="00ED2409" w:rsidRPr="009751C1">
        <w:rPr>
          <w:rFonts w:ascii="Calibri" w:hAnsi="Calibri"/>
          <w:sz w:val="24"/>
          <w:szCs w:val="24"/>
        </w:rPr>
        <w:t>2021</w:t>
      </w:r>
      <w:r w:rsidR="007334E0" w:rsidRPr="009751C1">
        <w:rPr>
          <w:rFonts w:ascii="Calibri" w:hAnsi="Calibri"/>
          <w:sz w:val="24"/>
          <w:szCs w:val="24"/>
        </w:rPr>
        <w:t xml:space="preserve"> – </w:t>
      </w:r>
      <w:r w:rsidR="00ED2409" w:rsidRPr="009751C1">
        <w:rPr>
          <w:rFonts w:ascii="Calibri" w:hAnsi="Calibri"/>
          <w:sz w:val="24"/>
          <w:szCs w:val="24"/>
        </w:rPr>
        <w:t>2025</w:t>
      </w:r>
      <w:r w:rsidR="002A2090" w:rsidRPr="009751C1">
        <w:rPr>
          <w:rFonts w:ascii="Calibri" w:hAnsi="Calibri"/>
          <w:sz w:val="24"/>
          <w:szCs w:val="24"/>
        </w:rPr>
        <w:t>,</w:t>
      </w:r>
      <w:r w:rsidR="00001609" w:rsidRPr="009751C1">
        <w:rPr>
          <w:rFonts w:ascii="Calibri" w:hAnsi="Calibri"/>
          <w:sz w:val="24"/>
          <w:szCs w:val="24"/>
        </w:rPr>
        <w:t xml:space="preserve"> </w:t>
      </w:r>
      <w:r w:rsidR="00CB25F4" w:rsidRPr="009751C1">
        <w:rPr>
          <w:rFonts w:ascii="Calibri" w:hAnsi="Calibri"/>
          <w:sz w:val="24"/>
          <w:szCs w:val="24"/>
        </w:rPr>
        <w:t>ustawie z dnia 2</w:t>
      </w:r>
      <w:r w:rsidR="00ED2409" w:rsidRPr="009751C1">
        <w:rPr>
          <w:rFonts w:ascii="Calibri" w:hAnsi="Calibri"/>
          <w:sz w:val="24"/>
          <w:szCs w:val="24"/>
        </w:rPr>
        <w:t>0</w:t>
      </w:r>
      <w:r w:rsidR="00CB25F4" w:rsidRPr="009751C1">
        <w:rPr>
          <w:rFonts w:ascii="Calibri" w:hAnsi="Calibri"/>
          <w:sz w:val="24"/>
          <w:szCs w:val="24"/>
        </w:rPr>
        <w:t xml:space="preserve"> lipca 20</w:t>
      </w:r>
      <w:r w:rsidR="00ED2409" w:rsidRPr="009751C1">
        <w:rPr>
          <w:rFonts w:ascii="Calibri" w:hAnsi="Calibri"/>
          <w:sz w:val="24"/>
          <w:szCs w:val="24"/>
        </w:rPr>
        <w:t>18</w:t>
      </w:r>
      <w:r w:rsidR="00CB25F4" w:rsidRPr="009751C1">
        <w:rPr>
          <w:rFonts w:ascii="Calibri" w:hAnsi="Calibri"/>
          <w:sz w:val="24"/>
          <w:szCs w:val="24"/>
        </w:rPr>
        <w:t xml:space="preserve"> r.</w:t>
      </w:r>
      <w:r w:rsidR="00CB25F4" w:rsidRPr="009751C1">
        <w:rPr>
          <w:rFonts w:ascii="Calibri" w:hAnsi="Calibri"/>
          <w:iCs/>
          <w:sz w:val="24"/>
          <w:szCs w:val="24"/>
        </w:rPr>
        <w:t xml:space="preserve"> Prawo o szkolnictwie wyższym</w:t>
      </w:r>
      <w:r w:rsidR="00ED2409" w:rsidRPr="009751C1">
        <w:rPr>
          <w:rFonts w:ascii="Calibri" w:hAnsi="Calibri"/>
          <w:iCs/>
          <w:sz w:val="24"/>
          <w:szCs w:val="24"/>
        </w:rPr>
        <w:t xml:space="preserve"> i nauce</w:t>
      </w:r>
      <w:r w:rsidR="00C55F3D" w:rsidRPr="009751C1">
        <w:rPr>
          <w:rFonts w:ascii="Calibri" w:hAnsi="Calibri"/>
          <w:sz w:val="24"/>
          <w:szCs w:val="24"/>
        </w:rPr>
        <w:t xml:space="preserve"> </w:t>
      </w:r>
      <w:r w:rsidR="002A2090" w:rsidRPr="009751C1">
        <w:rPr>
          <w:rFonts w:ascii="Calibri" w:hAnsi="Calibri"/>
          <w:sz w:val="24"/>
          <w:szCs w:val="24"/>
        </w:rPr>
        <w:t xml:space="preserve">oraz </w:t>
      </w:r>
      <w:r w:rsidR="00C55F3D" w:rsidRPr="009751C1">
        <w:rPr>
          <w:rFonts w:ascii="Calibri" w:hAnsi="Calibri"/>
          <w:sz w:val="24"/>
          <w:szCs w:val="24"/>
        </w:rPr>
        <w:t xml:space="preserve">Statucie </w:t>
      </w:r>
      <w:r w:rsidR="00ED2409" w:rsidRPr="009751C1">
        <w:rPr>
          <w:rFonts w:ascii="Calibri" w:hAnsi="Calibri"/>
          <w:sz w:val="24"/>
          <w:szCs w:val="24"/>
        </w:rPr>
        <w:t>ZUT</w:t>
      </w:r>
      <w:bookmarkEnd w:id="0"/>
      <w:r w:rsidR="002A2090" w:rsidRPr="009751C1">
        <w:rPr>
          <w:rFonts w:ascii="Calibri" w:hAnsi="Calibri"/>
          <w:sz w:val="24"/>
          <w:szCs w:val="24"/>
        </w:rPr>
        <w:t>,</w:t>
      </w:r>
      <w:r w:rsidR="00ED2409" w:rsidRPr="009751C1">
        <w:rPr>
          <w:rFonts w:ascii="Calibri" w:hAnsi="Calibri"/>
          <w:sz w:val="24"/>
          <w:szCs w:val="24"/>
        </w:rPr>
        <w:t xml:space="preserve"> </w:t>
      </w:r>
      <w:r w:rsidR="002A2090" w:rsidRPr="009751C1">
        <w:rPr>
          <w:rFonts w:ascii="Calibri" w:hAnsi="Calibri"/>
          <w:sz w:val="24"/>
          <w:szCs w:val="24"/>
        </w:rPr>
        <w:t>w</w:t>
      </w:r>
      <w:r w:rsidR="007334E0" w:rsidRPr="009751C1">
        <w:rPr>
          <w:rFonts w:ascii="Calibri" w:hAnsi="Calibri"/>
          <w:sz w:val="24"/>
          <w:szCs w:val="24"/>
        </w:rPr>
        <w:t> </w:t>
      </w:r>
      <w:r w:rsidR="002A2090" w:rsidRPr="009751C1">
        <w:rPr>
          <w:rFonts w:ascii="Calibri" w:hAnsi="Calibri"/>
          <w:sz w:val="24"/>
          <w:szCs w:val="24"/>
        </w:rPr>
        <w:t>sposób zgodny z prawem, efektywny, oszczędny i terminowy</w:t>
      </w:r>
      <w:r w:rsidR="007334E0" w:rsidRPr="009751C1">
        <w:rPr>
          <w:rFonts w:ascii="Calibri" w:hAnsi="Calibri"/>
          <w:sz w:val="24"/>
          <w:szCs w:val="24"/>
        </w:rPr>
        <w:t>;</w:t>
      </w:r>
    </w:p>
    <w:p w14:paraId="05975EF2" w14:textId="77777777" w:rsidR="00FD63DD" w:rsidRPr="009751C1" w:rsidRDefault="00F16BC7" w:rsidP="00B641CC">
      <w:pPr>
        <w:numPr>
          <w:ilvl w:val="1"/>
          <w:numId w:val="16"/>
        </w:numPr>
        <w:spacing w:line="360" w:lineRule="auto"/>
        <w:ind w:left="709"/>
        <w:rPr>
          <w:rFonts w:ascii="Calibri" w:hAnsi="Calibri"/>
          <w:sz w:val="24"/>
          <w:szCs w:val="24"/>
        </w:rPr>
      </w:pPr>
      <w:r w:rsidRPr="009751C1">
        <w:rPr>
          <w:rFonts w:ascii="Calibri" w:hAnsi="Calibri"/>
          <w:sz w:val="24"/>
          <w:szCs w:val="24"/>
        </w:rPr>
        <w:t xml:space="preserve">ochrona zasobów Uczelni </w:t>
      </w:r>
      <w:r w:rsidR="00FD63DD" w:rsidRPr="009751C1">
        <w:rPr>
          <w:rFonts w:ascii="Calibri" w:hAnsi="Calibri"/>
          <w:sz w:val="24"/>
          <w:szCs w:val="24"/>
        </w:rPr>
        <w:t>oraz ich efektywne wykorzystanie</w:t>
      </w:r>
      <w:r w:rsidR="007334E0" w:rsidRPr="009751C1">
        <w:rPr>
          <w:rFonts w:ascii="Calibri" w:hAnsi="Calibri"/>
          <w:sz w:val="24"/>
          <w:szCs w:val="24"/>
        </w:rPr>
        <w:t>;</w:t>
      </w:r>
    </w:p>
    <w:p w14:paraId="1B222E2D" w14:textId="77777777" w:rsidR="00F16BC7" w:rsidRPr="009751C1" w:rsidRDefault="00FD63DD" w:rsidP="00B641CC">
      <w:pPr>
        <w:numPr>
          <w:ilvl w:val="1"/>
          <w:numId w:val="16"/>
        </w:numPr>
        <w:spacing w:line="360" w:lineRule="auto"/>
        <w:ind w:left="709"/>
        <w:rPr>
          <w:rFonts w:ascii="Calibri" w:hAnsi="Calibri"/>
          <w:sz w:val="24"/>
          <w:szCs w:val="24"/>
        </w:rPr>
      </w:pPr>
      <w:r w:rsidRPr="009751C1">
        <w:rPr>
          <w:rFonts w:ascii="Calibri" w:hAnsi="Calibri"/>
          <w:sz w:val="24"/>
          <w:szCs w:val="24"/>
        </w:rPr>
        <w:t xml:space="preserve">ochrona </w:t>
      </w:r>
      <w:r w:rsidR="00F16BC7" w:rsidRPr="009751C1">
        <w:rPr>
          <w:rFonts w:ascii="Calibri" w:hAnsi="Calibri"/>
          <w:sz w:val="24"/>
          <w:szCs w:val="24"/>
        </w:rPr>
        <w:t xml:space="preserve">dobrego </w:t>
      </w:r>
      <w:r w:rsidR="00A40B0E" w:rsidRPr="009751C1">
        <w:rPr>
          <w:rFonts w:ascii="Calibri" w:hAnsi="Calibri"/>
          <w:sz w:val="24"/>
          <w:szCs w:val="24"/>
        </w:rPr>
        <w:t xml:space="preserve">imienia </w:t>
      </w:r>
      <w:r w:rsidRPr="009751C1">
        <w:rPr>
          <w:rFonts w:ascii="Calibri" w:hAnsi="Calibri"/>
          <w:sz w:val="24"/>
          <w:szCs w:val="24"/>
        </w:rPr>
        <w:t>Uczelni</w:t>
      </w:r>
      <w:r w:rsidR="005A78DA" w:rsidRPr="009751C1">
        <w:rPr>
          <w:rFonts w:ascii="Calibri" w:hAnsi="Calibri"/>
          <w:sz w:val="24"/>
          <w:szCs w:val="24"/>
        </w:rPr>
        <w:t>.</w:t>
      </w:r>
    </w:p>
    <w:p w14:paraId="09523A09" w14:textId="77777777" w:rsidR="00537C1E" w:rsidRPr="009751C1" w:rsidRDefault="00537C1E" w:rsidP="00B641CC">
      <w:pPr>
        <w:pStyle w:val="Rozdzia"/>
      </w:pPr>
      <w:r w:rsidRPr="009751C1">
        <w:t>Zastosowanie polityki zarządzania ryzykiem</w:t>
      </w:r>
    </w:p>
    <w:p w14:paraId="32891BE6" w14:textId="77777777" w:rsidR="00537C1E" w:rsidRPr="009751C1" w:rsidRDefault="005F34F3" w:rsidP="00B641CC">
      <w:pPr>
        <w:spacing w:line="360" w:lineRule="auto"/>
        <w:ind w:left="340"/>
        <w:rPr>
          <w:rFonts w:ascii="Calibri" w:hAnsi="Calibri"/>
          <w:sz w:val="24"/>
          <w:szCs w:val="24"/>
        </w:rPr>
      </w:pPr>
      <w:r w:rsidRPr="009751C1">
        <w:rPr>
          <w:rFonts w:ascii="Calibri" w:hAnsi="Calibri"/>
          <w:sz w:val="24"/>
          <w:szCs w:val="24"/>
        </w:rPr>
        <w:t>Przyjęta w Uczelni p</w:t>
      </w:r>
      <w:r w:rsidR="00537C1E" w:rsidRPr="009751C1">
        <w:rPr>
          <w:rFonts w:ascii="Calibri" w:hAnsi="Calibri"/>
          <w:sz w:val="24"/>
          <w:szCs w:val="24"/>
        </w:rPr>
        <w:t xml:space="preserve">olityka zarządzania ryzykiem ma zastosowanie do wszystkich jednostek organizacyjnych </w:t>
      </w:r>
      <w:r w:rsidR="00FA434A" w:rsidRPr="009751C1">
        <w:rPr>
          <w:rFonts w:ascii="Calibri" w:hAnsi="Calibri"/>
          <w:sz w:val="24"/>
          <w:szCs w:val="24"/>
        </w:rPr>
        <w:t>oraz do</w:t>
      </w:r>
      <w:r w:rsidR="00537C1E" w:rsidRPr="009751C1">
        <w:rPr>
          <w:rFonts w:ascii="Calibri" w:hAnsi="Calibri"/>
          <w:sz w:val="24"/>
          <w:szCs w:val="24"/>
        </w:rPr>
        <w:t xml:space="preserve"> wszystkich jej pracowników.</w:t>
      </w:r>
    </w:p>
    <w:p w14:paraId="51001BF9" w14:textId="77777777" w:rsidR="00537C1E" w:rsidRPr="009751C1" w:rsidRDefault="00537C1E" w:rsidP="00B641CC">
      <w:pPr>
        <w:pStyle w:val="Rozdzia"/>
      </w:pPr>
      <w:r w:rsidRPr="009751C1">
        <w:t>Zasady polityki zarządzania ryzykiem</w:t>
      </w:r>
    </w:p>
    <w:p w14:paraId="0C3DFBFF" w14:textId="613CEAC4" w:rsidR="00001609" w:rsidRPr="009751C1" w:rsidRDefault="00001609" w:rsidP="002819CD">
      <w:pPr>
        <w:numPr>
          <w:ilvl w:val="1"/>
          <w:numId w:val="11"/>
        </w:numPr>
        <w:spacing w:line="360" w:lineRule="auto"/>
        <w:ind w:left="426" w:hanging="425"/>
        <w:rPr>
          <w:rFonts w:ascii="Calibri" w:hAnsi="Calibri"/>
          <w:sz w:val="24"/>
          <w:szCs w:val="24"/>
        </w:rPr>
      </w:pPr>
      <w:r w:rsidRPr="009751C1">
        <w:rPr>
          <w:rFonts w:ascii="Calibri" w:hAnsi="Calibri"/>
          <w:sz w:val="24"/>
          <w:szCs w:val="24"/>
        </w:rPr>
        <w:t xml:space="preserve">Zarządzanie ryzykim jest elementem </w:t>
      </w:r>
      <w:r w:rsidR="007B5FFD" w:rsidRPr="009751C1">
        <w:rPr>
          <w:rFonts w:ascii="Calibri" w:hAnsi="Calibri"/>
          <w:sz w:val="24"/>
          <w:szCs w:val="24"/>
        </w:rPr>
        <w:t xml:space="preserve">system </w:t>
      </w:r>
      <w:r w:rsidRPr="009751C1">
        <w:rPr>
          <w:rFonts w:ascii="Calibri" w:hAnsi="Calibri"/>
          <w:sz w:val="24"/>
          <w:szCs w:val="24"/>
        </w:rPr>
        <w:t>kontroli zarządczej, w rozumieniu ustawy o</w:t>
      </w:r>
      <w:r w:rsidR="00AD4E4A" w:rsidRPr="009751C1">
        <w:rPr>
          <w:rFonts w:ascii="Calibri" w:hAnsi="Calibri"/>
          <w:sz w:val="24"/>
          <w:szCs w:val="24"/>
        </w:rPr>
        <w:t> </w:t>
      </w:r>
      <w:r w:rsidRPr="009751C1">
        <w:rPr>
          <w:rFonts w:ascii="Calibri" w:hAnsi="Calibri"/>
          <w:sz w:val="24"/>
          <w:szCs w:val="24"/>
        </w:rPr>
        <w:t>finansach publicznych.</w:t>
      </w:r>
    </w:p>
    <w:p w14:paraId="40F925A0" w14:textId="77777777" w:rsidR="00A848B3" w:rsidRPr="009751C1" w:rsidRDefault="00A848B3" w:rsidP="002819CD">
      <w:pPr>
        <w:numPr>
          <w:ilvl w:val="1"/>
          <w:numId w:val="11"/>
        </w:numPr>
        <w:spacing w:before="60" w:line="360" w:lineRule="auto"/>
        <w:ind w:left="426" w:hanging="425"/>
        <w:rPr>
          <w:rFonts w:ascii="Calibri" w:hAnsi="Calibri"/>
          <w:sz w:val="24"/>
          <w:szCs w:val="24"/>
        </w:rPr>
      </w:pPr>
      <w:r w:rsidRPr="009751C1">
        <w:rPr>
          <w:rFonts w:ascii="Calibri" w:hAnsi="Calibri"/>
          <w:sz w:val="24"/>
          <w:szCs w:val="24"/>
        </w:rPr>
        <w:t>Zarządzanie ryzykiem jest jednym z elementów planowania i podejmowania decyzji.</w:t>
      </w:r>
    </w:p>
    <w:p w14:paraId="3125499C" w14:textId="17413563" w:rsidR="002373BD" w:rsidRPr="009751C1" w:rsidRDefault="002373BD" w:rsidP="002819CD">
      <w:pPr>
        <w:numPr>
          <w:ilvl w:val="1"/>
          <w:numId w:val="11"/>
        </w:numPr>
        <w:spacing w:before="60" w:line="360" w:lineRule="auto"/>
        <w:ind w:left="426" w:hanging="425"/>
        <w:rPr>
          <w:rFonts w:ascii="Calibri" w:hAnsi="Calibri"/>
          <w:sz w:val="24"/>
          <w:szCs w:val="24"/>
        </w:rPr>
      </w:pPr>
      <w:r w:rsidRPr="009751C1">
        <w:rPr>
          <w:rFonts w:ascii="Calibri" w:hAnsi="Calibri"/>
          <w:sz w:val="24"/>
          <w:szCs w:val="24"/>
        </w:rPr>
        <w:t xml:space="preserve">Za zarządzanie ryzykiem odpowiada </w:t>
      </w:r>
      <w:r w:rsidR="006B03F3" w:rsidRPr="009751C1">
        <w:rPr>
          <w:rFonts w:ascii="Calibri" w:hAnsi="Calibri"/>
          <w:sz w:val="24"/>
          <w:szCs w:val="24"/>
        </w:rPr>
        <w:t>R</w:t>
      </w:r>
      <w:r w:rsidR="00046960" w:rsidRPr="009751C1">
        <w:rPr>
          <w:rFonts w:ascii="Calibri" w:hAnsi="Calibri"/>
          <w:sz w:val="24"/>
          <w:szCs w:val="24"/>
        </w:rPr>
        <w:t>ektor</w:t>
      </w:r>
      <w:r w:rsidR="00937247" w:rsidRPr="009751C1">
        <w:rPr>
          <w:rFonts w:ascii="Calibri" w:hAnsi="Calibri"/>
          <w:sz w:val="24"/>
          <w:szCs w:val="24"/>
        </w:rPr>
        <w:t>,</w:t>
      </w:r>
      <w:r w:rsidR="00046960" w:rsidRPr="009751C1">
        <w:rPr>
          <w:rFonts w:ascii="Calibri" w:hAnsi="Calibri"/>
          <w:sz w:val="24"/>
          <w:szCs w:val="24"/>
        </w:rPr>
        <w:t xml:space="preserve"> a także</w:t>
      </w:r>
      <w:r w:rsidR="00937247" w:rsidRPr="009751C1">
        <w:rPr>
          <w:rFonts w:ascii="Calibri" w:hAnsi="Calibri"/>
          <w:sz w:val="24"/>
          <w:szCs w:val="24"/>
        </w:rPr>
        <w:t xml:space="preserve"> (w zakresie powierzonych im</w:t>
      </w:r>
      <w:r w:rsidR="008769B9">
        <w:rPr>
          <w:rFonts w:ascii="Calibri" w:hAnsi="Calibri"/>
          <w:sz w:val="24"/>
          <w:szCs w:val="24"/>
        </w:rPr>
        <w:t> </w:t>
      </w:r>
      <w:r w:rsidR="00937247" w:rsidRPr="009751C1">
        <w:rPr>
          <w:rFonts w:ascii="Calibri" w:hAnsi="Calibri"/>
          <w:sz w:val="24"/>
          <w:szCs w:val="24"/>
        </w:rPr>
        <w:t>obowiązków)</w:t>
      </w:r>
      <w:r w:rsidR="00046960" w:rsidRPr="009751C1">
        <w:rPr>
          <w:rFonts w:ascii="Calibri" w:hAnsi="Calibri"/>
          <w:sz w:val="24"/>
          <w:szCs w:val="24"/>
        </w:rPr>
        <w:t xml:space="preserve"> </w:t>
      </w:r>
      <w:r w:rsidR="00E64791" w:rsidRPr="009751C1">
        <w:rPr>
          <w:rFonts w:ascii="Calibri" w:hAnsi="Calibri"/>
          <w:sz w:val="24"/>
          <w:szCs w:val="24"/>
        </w:rPr>
        <w:t>ki</w:t>
      </w:r>
      <w:r w:rsidR="00C91F20" w:rsidRPr="009751C1">
        <w:rPr>
          <w:rFonts w:ascii="Calibri" w:hAnsi="Calibri"/>
          <w:sz w:val="24"/>
          <w:szCs w:val="24"/>
        </w:rPr>
        <w:t>erownicy wyższego szczebla</w:t>
      </w:r>
      <w:r w:rsidR="0092505F" w:rsidRPr="009751C1">
        <w:rPr>
          <w:rFonts w:ascii="Calibri" w:hAnsi="Calibri"/>
          <w:sz w:val="24"/>
          <w:szCs w:val="24"/>
        </w:rPr>
        <w:t>.</w:t>
      </w:r>
      <w:r w:rsidR="00C91F20" w:rsidRPr="009751C1">
        <w:rPr>
          <w:rFonts w:ascii="Calibri" w:hAnsi="Calibri"/>
          <w:sz w:val="24"/>
          <w:szCs w:val="24"/>
        </w:rPr>
        <w:t xml:space="preserve"> </w:t>
      </w:r>
    </w:p>
    <w:p w14:paraId="7E85C161" w14:textId="77777777" w:rsidR="002373BD" w:rsidRPr="009751C1" w:rsidRDefault="002373BD" w:rsidP="002819CD">
      <w:pPr>
        <w:numPr>
          <w:ilvl w:val="1"/>
          <w:numId w:val="11"/>
        </w:numPr>
        <w:spacing w:before="60" w:line="360" w:lineRule="auto"/>
        <w:ind w:left="426" w:hanging="425"/>
        <w:rPr>
          <w:rFonts w:ascii="Calibri" w:hAnsi="Calibri"/>
          <w:sz w:val="24"/>
          <w:szCs w:val="24"/>
        </w:rPr>
      </w:pPr>
      <w:r w:rsidRPr="009751C1">
        <w:rPr>
          <w:rFonts w:ascii="Calibri" w:hAnsi="Calibri"/>
          <w:sz w:val="24"/>
          <w:szCs w:val="24"/>
        </w:rPr>
        <w:t xml:space="preserve">Zarządzanie ryzykiem jest </w:t>
      </w:r>
      <w:r w:rsidR="00245CF2" w:rsidRPr="009751C1">
        <w:rPr>
          <w:rFonts w:ascii="Calibri" w:hAnsi="Calibri"/>
          <w:sz w:val="24"/>
          <w:szCs w:val="24"/>
        </w:rPr>
        <w:t xml:space="preserve">procesem </w:t>
      </w:r>
      <w:r w:rsidRPr="009751C1">
        <w:rPr>
          <w:rFonts w:ascii="Calibri" w:hAnsi="Calibri"/>
          <w:sz w:val="24"/>
          <w:szCs w:val="24"/>
        </w:rPr>
        <w:t>ciągłym, w który zaangażowani są wszyscy pracownicy Uczelni.</w:t>
      </w:r>
    </w:p>
    <w:p w14:paraId="6C58B307" w14:textId="77777777" w:rsidR="005A78DA" w:rsidRPr="009751C1" w:rsidRDefault="00046960" w:rsidP="002819CD">
      <w:pPr>
        <w:numPr>
          <w:ilvl w:val="1"/>
          <w:numId w:val="11"/>
        </w:numPr>
        <w:spacing w:before="60" w:line="360" w:lineRule="auto"/>
        <w:ind w:left="426" w:hanging="425"/>
        <w:rPr>
          <w:rFonts w:ascii="Calibri" w:hAnsi="Calibri"/>
          <w:sz w:val="24"/>
          <w:szCs w:val="24"/>
        </w:rPr>
      </w:pPr>
      <w:r w:rsidRPr="009751C1">
        <w:rPr>
          <w:rFonts w:ascii="Calibri" w:hAnsi="Calibri"/>
          <w:sz w:val="24"/>
          <w:szCs w:val="24"/>
        </w:rPr>
        <w:t xml:space="preserve">Rektor i kierownicy wyższego </w:t>
      </w:r>
      <w:r w:rsidR="00245CF2" w:rsidRPr="009751C1">
        <w:rPr>
          <w:rFonts w:ascii="Calibri" w:hAnsi="Calibri"/>
          <w:sz w:val="24"/>
          <w:szCs w:val="24"/>
        </w:rPr>
        <w:t xml:space="preserve">szczebla </w:t>
      </w:r>
      <w:r w:rsidR="007B582D" w:rsidRPr="009751C1">
        <w:rPr>
          <w:rFonts w:ascii="Calibri" w:hAnsi="Calibri"/>
          <w:sz w:val="24"/>
          <w:szCs w:val="24"/>
        </w:rPr>
        <w:t>podejmuj</w:t>
      </w:r>
      <w:r w:rsidR="00245CF2" w:rsidRPr="009751C1">
        <w:rPr>
          <w:rFonts w:ascii="Calibri" w:hAnsi="Calibri"/>
          <w:sz w:val="24"/>
          <w:szCs w:val="24"/>
        </w:rPr>
        <w:t>ą</w:t>
      </w:r>
      <w:r w:rsidR="007B582D" w:rsidRPr="009751C1">
        <w:rPr>
          <w:rFonts w:ascii="Calibri" w:hAnsi="Calibri"/>
          <w:sz w:val="24"/>
          <w:szCs w:val="24"/>
        </w:rPr>
        <w:t xml:space="preserve"> działania zmierzające do </w:t>
      </w:r>
      <w:r w:rsidR="00797C6F" w:rsidRPr="009751C1">
        <w:rPr>
          <w:rFonts w:ascii="Calibri" w:hAnsi="Calibri"/>
          <w:sz w:val="24"/>
          <w:szCs w:val="24"/>
        </w:rPr>
        <w:t>zapoznania</w:t>
      </w:r>
      <w:r w:rsidR="003019E5" w:rsidRPr="009751C1">
        <w:rPr>
          <w:rFonts w:ascii="Calibri" w:hAnsi="Calibri"/>
          <w:sz w:val="24"/>
          <w:szCs w:val="24"/>
        </w:rPr>
        <w:t xml:space="preserve"> pracowników z celami Uczelni</w:t>
      </w:r>
      <w:r w:rsidR="00493ABD" w:rsidRPr="009751C1">
        <w:rPr>
          <w:rFonts w:ascii="Calibri" w:hAnsi="Calibri"/>
          <w:sz w:val="24"/>
          <w:szCs w:val="24"/>
        </w:rPr>
        <w:t>.</w:t>
      </w:r>
    </w:p>
    <w:p w14:paraId="21D8F913" w14:textId="77777777" w:rsidR="002A2090" w:rsidRPr="009751C1" w:rsidRDefault="00046960" w:rsidP="002819CD">
      <w:pPr>
        <w:numPr>
          <w:ilvl w:val="1"/>
          <w:numId w:val="11"/>
        </w:numPr>
        <w:spacing w:before="60" w:line="360" w:lineRule="auto"/>
        <w:ind w:left="426" w:hanging="425"/>
        <w:rPr>
          <w:rFonts w:ascii="Calibri" w:hAnsi="Calibri"/>
          <w:sz w:val="24"/>
          <w:szCs w:val="24"/>
        </w:rPr>
      </w:pPr>
      <w:r w:rsidRPr="009751C1">
        <w:rPr>
          <w:rFonts w:ascii="Calibri" w:hAnsi="Calibri"/>
          <w:sz w:val="24"/>
          <w:szCs w:val="24"/>
        </w:rPr>
        <w:t>Rektor i k</w:t>
      </w:r>
      <w:r w:rsidR="005B628B" w:rsidRPr="009751C1">
        <w:rPr>
          <w:rFonts w:ascii="Calibri" w:hAnsi="Calibri"/>
          <w:sz w:val="24"/>
          <w:szCs w:val="24"/>
        </w:rPr>
        <w:t>ier</w:t>
      </w:r>
      <w:r w:rsidR="00FD63DD" w:rsidRPr="009751C1">
        <w:rPr>
          <w:rFonts w:ascii="Calibri" w:hAnsi="Calibri"/>
          <w:sz w:val="24"/>
          <w:szCs w:val="24"/>
        </w:rPr>
        <w:t>o</w:t>
      </w:r>
      <w:r w:rsidR="005B628B" w:rsidRPr="009751C1">
        <w:rPr>
          <w:rFonts w:ascii="Calibri" w:hAnsi="Calibri"/>
          <w:sz w:val="24"/>
          <w:szCs w:val="24"/>
        </w:rPr>
        <w:t>wnic</w:t>
      </w:r>
      <w:r w:rsidRPr="009751C1">
        <w:rPr>
          <w:rFonts w:ascii="Calibri" w:hAnsi="Calibri"/>
          <w:sz w:val="24"/>
          <w:szCs w:val="24"/>
        </w:rPr>
        <w:t>y wyższego szczebla</w:t>
      </w:r>
      <w:r w:rsidR="005B628B" w:rsidRPr="009751C1">
        <w:rPr>
          <w:rFonts w:ascii="Calibri" w:hAnsi="Calibri"/>
          <w:sz w:val="24"/>
          <w:szCs w:val="24"/>
        </w:rPr>
        <w:t xml:space="preserve"> podejmuj</w:t>
      </w:r>
      <w:r w:rsidRPr="009751C1">
        <w:rPr>
          <w:rFonts w:ascii="Calibri" w:hAnsi="Calibri"/>
          <w:sz w:val="24"/>
          <w:szCs w:val="24"/>
        </w:rPr>
        <w:t>ą</w:t>
      </w:r>
      <w:r w:rsidR="005B628B" w:rsidRPr="009751C1">
        <w:rPr>
          <w:rFonts w:ascii="Calibri" w:hAnsi="Calibri"/>
          <w:sz w:val="24"/>
          <w:szCs w:val="24"/>
        </w:rPr>
        <w:t xml:space="preserve"> działania mające na celu </w:t>
      </w:r>
      <w:r w:rsidR="005A78DA" w:rsidRPr="009751C1">
        <w:rPr>
          <w:rFonts w:ascii="Calibri" w:hAnsi="Calibri"/>
          <w:sz w:val="24"/>
          <w:szCs w:val="24"/>
        </w:rPr>
        <w:t xml:space="preserve">podniesienie poziomu wiedzy pracowników na temat ryzyka, tj. wzrostu świadomości występowania ryzyka w działalności Uczelni, wpływu ryzyka na </w:t>
      </w:r>
      <w:r w:rsidR="00166252" w:rsidRPr="009751C1">
        <w:rPr>
          <w:rFonts w:ascii="Calibri" w:hAnsi="Calibri"/>
          <w:sz w:val="24"/>
          <w:szCs w:val="24"/>
        </w:rPr>
        <w:t>realizację</w:t>
      </w:r>
      <w:r w:rsidR="005A78DA" w:rsidRPr="009751C1">
        <w:rPr>
          <w:rFonts w:ascii="Calibri" w:hAnsi="Calibri"/>
          <w:sz w:val="24"/>
          <w:szCs w:val="24"/>
        </w:rPr>
        <w:t xml:space="preserve"> przez Uczelnię celów</w:t>
      </w:r>
      <w:r w:rsidR="002A2090" w:rsidRPr="009751C1">
        <w:rPr>
          <w:rFonts w:ascii="Calibri" w:hAnsi="Calibri"/>
          <w:sz w:val="24"/>
          <w:szCs w:val="24"/>
        </w:rPr>
        <w:t xml:space="preserve"> i zadań</w:t>
      </w:r>
      <w:r w:rsidR="005A78DA" w:rsidRPr="009751C1">
        <w:rPr>
          <w:rFonts w:ascii="Calibri" w:hAnsi="Calibri"/>
          <w:sz w:val="24"/>
          <w:szCs w:val="24"/>
        </w:rPr>
        <w:t>,</w:t>
      </w:r>
      <w:r w:rsidR="00A43C1A" w:rsidRPr="009751C1">
        <w:rPr>
          <w:rFonts w:ascii="Calibri" w:hAnsi="Calibri"/>
          <w:sz w:val="24"/>
          <w:szCs w:val="24"/>
        </w:rPr>
        <w:t xml:space="preserve"> możliwości ograniczania ryzyka i konieczności jego stałego monitorowania</w:t>
      </w:r>
      <w:r w:rsidR="00EF7FA9" w:rsidRPr="009751C1">
        <w:rPr>
          <w:rFonts w:ascii="Calibri" w:hAnsi="Calibri"/>
          <w:sz w:val="24"/>
          <w:szCs w:val="24"/>
        </w:rPr>
        <w:t>.</w:t>
      </w:r>
    </w:p>
    <w:p w14:paraId="1BD8062D" w14:textId="77777777" w:rsidR="005B2BAB" w:rsidRPr="009751C1" w:rsidRDefault="00316BA9" w:rsidP="002819CD">
      <w:pPr>
        <w:numPr>
          <w:ilvl w:val="1"/>
          <w:numId w:val="11"/>
        </w:numPr>
        <w:spacing w:before="60" w:line="360" w:lineRule="auto"/>
        <w:ind w:left="426" w:hanging="425"/>
        <w:rPr>
          <w:rFonts w:ascii="Calibri" w:hAnsi="Calibri"/>
          <w:sz w:val="24"/>
          <w:szCs w:val="24"/>
        </w:rPr>
      </w:pPr>
      <w:r w:rsidRPr="009751C1">
        <w:rPr>
          <w:rFonts w:ascii="Calibri" w:hAnsi="Calibri"/>
          <w:sz w:val="24"/>
          <w:szCs w:val="24"/>
        </w:rPr>
        <w:lastRenderedPageBreak/>
        <w:t>Rektor</w:t>
      </w:r>
      <w:r w:rsidR="005B2BAB" w:rsidRPr="009751C1">
        <w:rPr>
          <w:rFonts w:ascii="Calibri" w:hAnsi="Calibri"/>
          <w:sz w:val="24"/>
          <w:szCs w:val="24"/>
        </w:rPr>
        <w:t xml:space="preserve"> </w:t>
      </w:r>
      <w:r w:rsidRPr="009751C1">
        <w:rPr>
          <w:rFonts w:ascii="Calibri" w:hAnsi="Calibri"/>
          <w:sz w:val="24"/>
          <w:szCs w:val="24"/>
        </w:rPr>
        <w:t>zdefiniował</w:t>
      </w:r>
      <w:r w:rsidR="00493ABD" w:rsidRPr="009751C1">
        <w:rPr>
          <w:rFonts w:ascii="Calibri" w:hAnsi="Calibri"/>
          <w:sz w:val="24"/>
          <w:szCs w:val="24"/>
        </w:rPr>
        <w:t xml:space="preserve"> pojęcia</w:t>
      </w:r>
      <w:r w:rsidR="005B2BAB" w:rsidRPr="009751C1">
        <w:rPr>
          <w:rFonts w:ascii="Calibri" w:hAnsi="Calibri"/>
          <w:sz w:val="24"/>
          <w:szCs w:val="24"/>
        </w:rPr>
        <w:t>, któr</w:t>
      </w:r>
      <w:r w:rsidR="00493ABD" w:rsidRPr="009751C1">
        <w:rPr>
          <w:rFonts w:ascii="Calibri" w:hAnsi="Calibri"/>
          <w:sz w:val="24"/>
          <w:szCs w:val="24"/>
        </w:rPr>
        <w:t>e</w:t>
      </w:r>
      <w:r w:rsidR="005B2BAB" w:rsidRPr="009751C1">
        <w:rPr>
          <w:rFonts w:ascii="Calibri" w:hAnsi="Calibri"/>
          <w:sz w:val="24"/>
          <w:szCs w:val="24"/>
        </w:rPr>
        <w:t xml:space="preserve"> </w:t>
      </w:r>
      <w:r w:rsidR="00493ABD" w:rsidRPr="009751C1">
        <w:rPr>
          <w:rFonts w:ascii="Calibri" w:hAnsi="Calibri"/>
          <w:sz w:val="24"/>
          <w:szCs w:val="24"/>
        </w:rPr>
        <w:t>będą</w:t>
      </w:r>
      <w:r w:rsidR="005B2BAB" w:rsidRPr="009751C1">
        <w:rPr>
          <w:rFonts w:ascii="Calibri" w:hAnsi="Calibri"/>
          <w:sz w:val="24"/>
          <w:szCs w:val="24"/>
        </w:rPr>
        <w:t xml:space="preserve"> </w:t>
      </w:r>
      <w:r w:rsidR="00493ABD" w:rsidRPr="009751C1">
        <w:rPr>
          <w:rFonts w:ascii="Calibri" w:hAnsi="Calibri"/>
          <w:sz w:val="24"/>
          <w:szCs w:val="24"/>
        </w:rPr>
        <w:t>używane</w:t>
      </w:r>
      <w:r w:rsidR="005B2BAB" w:rsidRPr="009751C1">
        <w:rPr>
          <w:rFonts w:ascii="Calibri" w:hAnsi="Calibri"/>
          <w:sz w:val="24"/>
          <w:szCs w:val="24"/>
        </w:rPr>
        <w:t xml:space="preserve"> w procesie zarządzania ryzykiem</w:t>
      </w:r>
      <w:r w:rsidRPr="009751C1">
        <w:rPr>
          <w:rFonts w:ascii="Calibri" w:hAnsi="Calibri"/>
          <w:sz w:val="24"/>
          <w:szCs w:val="24"/>
        </w:rPr>
        <w:t xml:space="preserve"> w</w:t>
      </w:r>
      <w:r w:rsidR="00BB6BB5" w:rsidRPr="009751C1">
        <w:rPr>
          <w:rFonts w:ascii="Calibri" w:hAnsi="Calibri"/>
          <w:sz w:val="24"/>
          <w:szCs w:val="24"/>
        </w:rPr>
        <w:t> </w:t>
      </w:r>
      <w:r w:rsidRPr="009751C1">
        <w:rPr>
          <w:rFonts w:ascii="Calibri" w:hAnsi="Calibri"/>
          <w:sz w:val="24"/>
          <w:szCs w:val="24"/>
        </w:rPr>
        <w:t>sposób następujący:</w:t>
      </w:r>
    </w:p>
    <w:p w14:paraId="4971AFA2" w14:textId="77777777" w:rsidR="00B904B0" w:rsidRPr="009751C1" w:rsidRDefault="00B904B0" w:rsidP="00B641CC">
      <w:pPr>
        <w:spacing w:before="60" w:line="360" w:lineRule="auto"/>
        <w:ind w:left="454"/>
        <w:rPr>
          <w:rFonts w:ascii="Calibri" w:hAnsi="Calibri"/>
          <w:sz w:val="24"/>
          <w:szCs w:val="24"/>
        </w:rPr>
      </w:pPr>
      <w:r w:rsidRPr="009751C1">
        <w:rPr>
          <w:rFonts w:ascii="Calibri" w:hAnsi="Calibri"/>
          <w:b/>
          <w:sz w:val="24"/>
          <w:szCs w:val="24"/>
        </w:rPr>
        <w:t xml:space="preserve">Kierownicy wyższego szczebla </w:t>
      </w:r>
      <w:r w:rsidRPr="009751C1">
        <w:rPr>
          <w:rFonts w:ascii="Calibri" w:hAnsi="Calibri"/>
          <w:sz w:val="24"/>
          <w:szCs w:val="24"/>
        </w:rPr>
        <w:t>– dla potrzeb niniejszej polityki przyjmuje się, iż kierownikami wyższego szczebla są:</w:t>
      </w:r>
      <w:r w:rsidRPr="009751C1">
        <w:rPr>
          <w:rFonts w:ascii="Calibri" w:hAnsi="Calibri"/>
          <w:b/>
          <w:sz w:val="24"/>
          <w:szCs w:val="24"/>
        </w:rPr>
        <w:t xml:space="preserve"> </w:t>
      </w:r>
      <w:r w:rsidRPr="009751C1">
        <w:rPr>
          <w:rFonts w:ascii="Calibri" w:hAnsi="Calibri"/>
          <w:sz w:val="24"/>
          <w:szCs w:val="24"/>
        </w:rPr>
        <w:t xml:space="preserve">prorektorzy, dziekani, kierownicy jednostek </w:t>
      </w:r>
      <w:r w:rsidR="007B5FFD" w:rsidRPr="009751C1">
        <w:rPr>
          <w:rFonts w:ascii="Calibri" w:hAnsi="Calibri"/>
          <w:sz w:val="24"/>
          <w:szCs w:val="24"/>
        </w:rPr>
        <w:t>międzywydziałowych i</w:t>
      </w:r>
      <w:r w:rsidR="00BB6BB5" w:rsidRPr="009751C1">
        <w:rPr>
          <w:rFonts w:ascii="Calibri" w:hAnsi="Calibri"/>
          <w:sz w:val="24"/>
          <w:szCs w:val="24"/>
        </w:rPr>
        <w:t> </w:t>
      </w:r>
      <w:r w:rsidR="007B5FFD" w:rsidRPr="009751C1">
        <w:rPr>
          <w:rFonts w:ascii="Calibri" w:hAnsi="Calibri"/>
          <w:sz w:val="24"/>
          <w:szCs w:val="24"/>
        </w:rPr>
        <w:t>ogólnouczelnianych</w:t>
      </w:r>
      <w:r w:rsidRPr="009751C1">
        <w:rPr>
          <w:rFonts w:ascii="Calibri" w:hAnsi="Calibri"/>
          <w:sz w:val="24"/>
          <w:szCs w:val="24"/>
        </w:rPr>
        <w:t>, kanclerz, kwestor.</w:t>
      </w:r>
    </w:p>
    <w:p w14:paraId="296BB80A" w14:textId="77777777" w:rsidR="006535AD" w:rsidRPr="009751C1" w:rsidRDefault="006535AD" w:rsidP="00B641CC">
      <w:pPr>
        <w:spacing w:before="60" w:line="360" w:lineRule="auto"/>
        <w:ind w:left="454"/>
        <w:rPr>
          <w:rFonts w:ascii="Calibri" w:hAnsi="Calibri"/>
          <w:sz w:val="24"/>
          <w:szCs w:val="24"/>
        </w:rPr>
      </w:pPr>
      <w:r w:rsidRPr="009751C1">
        <w:rPr>
          <w:rFonts w:ascii="Calibri" w:hAnsi="Calibri"/>
          <w:b/>
          <w:sz w:val="24"/>
          <w:szCs w:val="24"/>
        </w:rPr>
        <w:t>Ryzyko</w:t>
      </w:r>
      <w:r w:rsidRPr="009751C1">
        <w:rPr>
          <w:rFonts w:ascii="Calibri" w:hAnsi="Calibri"/>
          <w:sz w:val="24"/>
          <w:szCs w:val="24"/>
        </w:rPr>
        <w:t xml:space="preserve"> – możliwość zaistnienia zdarzenia, które będzie miało wpływ na realizację celów</w:t>
      </w:r>
      <w:r w:rsidR="00166252" w:rsidRPr="009751C1">
        <w:rPr>
          <w:rFonts w:ascii="Calibri" w:hAnsi="Calibri"/>
          <w:sz w:val="24"/>
          <w:szCs w:val="24"/>
        </w:rPr>
        <w:t xml:space="preserve"> i</w:t>
      </w:r>
      <w:r w:rsidR="001B694B" w:rsidRPr="009751C1">
        <w:rPr>
          <w:rFonts w:ascii="Calibri" w:hAnsi="Calibri"/>
          <w:sz w:val="24"/>
          <w:szCs w:val="24"/>
        </w:rPr>
        <w:t> </w:t>
      </w:r>
      <w:r w:rsidR="00166252" w:rsidRPr="009751C1">
        <w:rPr>
          <w:rFonts w:ascii="Calibri" w:hAnsi="Calibri"/>
          <w:sz w:val="24"/>
          <w:szCs w:val="24"/>
        </w:rPr>
        <w:t>zadań</w:t>
      </w:r>
      <w:r w:rsidR="007B5FFD" w:rsidRPr="009751C1">
        <w:rPr>
          <w:rFonts w:ascii="Calibri" w:hAnsi="Calibri"/>
          <w:sz w:val="24"/>
          <w:szCs w:val="24"/>
        </w:rPr>
        <w:t xml:space="preserve"> Uczelni</w:t>
      </w:r>
      <w:r w:rsidRPr="009751C1">
        <w:rPr>
          <w:rFonts w:ascii="Calibri" w:hAnsi="Calibri"/>
          <w:sz w:val="24"/>
          <w:szCs w:val="24"/>
        </w:rPr>
        <w:t>. Może mieć charakter negatywnego zagrożenia lub pozytywnej możliwości. Ryzyko jest mierzone wpływem (siłą oddziaływania</w:t>
      </w:r>
      <w:r w:rsidR="001774BB" w:rsidRPr="009751C1">
        <w:rPr>
          <w:rFonts w:ascii="Calibri" w:hAnsi="Calibri"/>
          <w:sz w:val="24"/>
          <w:szCs w:val="24"/>
        </w:rPr>
        <w:t>/skutkiem</w:t>
      </w:r>
      <w:r w:rsidRPr="009751C1">
        <w:rPr>
          <w:rFonts w:ascii="Calibri" w:hAnsi="Calibri"/>
          <w:sz w:val="24"/>
          <w:szCs w:val="24"/>
        </w:rPr>
        <w:t>) oraz prawdopodobieństwem jego wystąpienia.</w:t>
      </w:r>
    </w:p>
    <w:p w14:paraId="24801779" w14:textId="77777777" w:rsidR="00B57B0B" w:rsidRPr="009751C1" w:rsidRDefault="00006D0D" w:rsidP="00B641CC">
      <w:pPr>
        <w:keepNext/>
        <w:spacing w:before="60" w:line="360" w:lineRule="auto"/>
        <w:ind w:left="454"/>
        <w:rPr>
          <w:rFonts w:ascii="Calibri" w:hAnsi="Calibri"/>
          <w:sz w:val="24"/>
          <w:szCs w:val="24"/>
        </w:rPr>
      </w:pPr>
      <w:r w:rsidRPr="009751C1">
        <w:rPr>
          <w:rFonts w:ascii="Calibri" w:hAnsi="Calibri"/>
          <w:b/>
          <w:sz w:val="24"/>
          <w:szCs w:val="24"/>
        </w:rPr>
        <w:t xml:space="preserve">Przyczyna </w:t>
      </w:r>
      <w:r w:rsidR="00B57B0B" w:rsidRPr="009751C1">
        <w:rPr>
          <w:rFonts w:ascii="Calibri" w:hAnsi="Calibri"/>
          <w:b/>
          <w:sz w:val="24"/>
          <w:szCs w:val="24"/>
        </w:rPr>
        <w:t xml:space="preserve">ryzyka </w:t>
      </w:r>
      <w:r w:rsidR="00B57B0B" w:rsidRPr="009751C1">
        <w:rPr>
          <w:rFonts w:ascii="Calibri" w:hAnsi="Calibri"/>
          <w:sz w:val="24"/>
          <w:szCs w:val="24"/>
        </w:rPr>
        <w:t xml:space="preserve">– </w:t>
      </w:r>
      <w:r w:rsidR="00952F34" w:rsidRPr="009751C1">
        <w:rPr>
          <w:rFonts w:ascii="Calibri" w:hAnsi="Calibri"/>
          <w:sz w:val="24"/>
          <w:szCs w:val="24"/>
        </w:rPr>
        <w:t>zdarzenie, działanie, zaniechanie, które może spowodować wystąpienie ryzyka.</w:t>
      </w:r>
    </w:p>
    <w:p w14:paraId="61114D81" w14:textId="77777777" w:rsidR="00A560C9" w:rsidRPr="009751C1" w:rsidRDefault="00A560C9" w:rsidP="00B641CC">
      <w:pPr>
        <w:spacing w:before="60" w:line="360" w:lineRule="auto"/>
        <w:ind w:left="454"/>
        <w:rPr>
          <w:rFonts w:ascii="Calibri" w:hAnsi="Calibri"/>
          <w:sz w:val="24"/>
          <w:szCs w:val="24"/>
        </w:rPr>
      </w:pPr>
      <w:r w:rsidRPr="009751C1">
        <w:rPr>
          <w:rFonts w:ascii="Calibri" w:hAnsi="Calibri"/>
          <w:b/>
          <w:sz w:val="24"/>
          <w:szCs w:val="24"/>
        </w:rPr>
        <w:t>Mechanizmy kontrol</w:t>
      </w:r>
      <w:r w:rsidR="00844FBE" w:rsidRPr="009751C1">
        <w:rPr>
          <w:rFonts w:ascii="Calibri" w:hAnsi="Calibri"/>
          <w:b/>
          <w:sz w:val="24"/>
          <w:szCs w:val="24"/>
        </w:rPr>
        <w:t>ne</w:t>
      </w:r>
      <w:r w:rsidRPr="009751C1">
        <w:rPr>
          <w:rFonts w:ascii="Calibri" w:hAnsi="Calibri"/>
          <w:b/>
          <w:sz w:val="24"/>
          <w:szCs w:val="24"/>
        </w:rPr>
        <w:t xml:space="preserve"> </w:t>
      </w:r>
      <w:r w:rsidR="0092505F" w:rsidRPr="009751C1">
        <w:rPr>
          <w:rFonts w:ascii="Calibri" w:hAnsi="Calibri"/>
          <w:sz w:val="24"/>
          <w:szCs w:val="24"/>
        </w:rPr>
        <w:t>–</w:t>
      </w:r>
      <w:r w:rsidRPr="009751C1">
        <w:rPr>
          <w:rFonts w:ascii="Calibri" w:hAnsi="Calibri"/>
          <w:sz w:val="24"/>
          <w:szCs w:val="24"/>
        </w:rPr>
        <w:t xml:space="preserve"> </w:t>
      </w:r>
      <w:r w:rsidR="00166252" w:rsidRPr="009751C1">
        <w:rPr>
          <w:rFonts w:ascii="Calibri" w:hAnsi="Calibri"/>
          <w:sz w:val="24"/>
          <w:szCs w:val="24"/>
        </w:rPr>
        <w:t xml:space="preserve">wszystkie udokumentowane i niepisane zasady postępowania </w:t>
      </w:r>
      <w:r w:rsidR="007B5FFD" w:rsidRPr="009751C1">
        <w:rPr>
          <w:rFonts w:ascii="Calibri" w:hAnsi="Calibri"/>
          <w:sz w:val="24"/>
          <w:szCs w:val="24"/>
        </w:rPr>
        <w:t>przyjęte</w:t>
      </w:r>
      <w:r w:rsidR="00166252" w:rsidRPr="009751C1">
        <w:rPr>
          <w:rFonts w:ascii="Calibri" w:hAnsi="Calibri"/>
          <w:sz w:val="24"/>
          <w:szCs w:val="24"/>
        </w:rPr>
        <w:t xml:space="preserve"> w Uczelni, np. regulaminy, procedury, instrukcje, wytyczne, dobre praktyki, a także fizyczne działania, fizyczne i techniczne środki zabezpieczeń, wdrożone w celu zmniejszenia ryzyka do akceptowalnego poziomu.</w:t>
      </w:r>
    </w:p>
    <w:p w14:paraId="6FD731D1" w14:textId="77777777" w:rsidR="00B57B0B" w:rsidRPr="009751C1" w:rsidRDefault="00B57B0B" w:rsidP="00B641CC">
      <w:pPr>
        <w:spacing w:before="60" w:line="360" w:lineRule="auto"/>
        <w:ind w:left="454"/>
        <w:rPr>
          <w:rFonts w:ascii="Calibri" w:hAnsi="Calibri"/>
          <w:sz w:val="24"/>
          <w:szCs w:val="24"/>
        </w:rPr>
      </w:pPr>
      <w:r w:rsidRPr="009751C1">
        <w:rPr>
          <w:rFonts w:ascii="Calibri" w:hAnsi="Calibri"/>
          <w:b/>
          <w:sz w:val="24"/>
          <w:szCs w:val="24"/>
        </w:rPr>
        <w:t>Ryzyko nieodłączne</w:t>
      </w:r>
      <w:r w:rsidRPr="009751C1">
        <w:rPr>
          <w:rFonts w:ascii="Calibri" w:hAnsi="Calibri"/>
          <w:sz w:val="24"/>
          <w:szCs w:val="24"/>
        </w:rPr>
        <w:t xml:space="preserve"> –</w:t>
      </w:r>
      <w:r w:rsidR="00B66445" w:rsidRPr="009751C1">
        <w:rPr>
          <w:rFonts w:ascii="Calibri" w:hAnsi="Calibri"/>
          <w:sz w:val="24"/>
          <w:szCs w:val="24"/>
        </w:rPr>
        <w:t xml:space="preserve"> ryzyko wystąpienia niepożądanego zdarzenia, przy założeniu, że nie funkcjonują żadne mechanizmy kontrolne.</w:t>
      </w:r>
    </w:p>
    <w:p w14:paraId="2D9F049B" w14:textId="77777777" w:rsidR="00A560C9" w:rsidRPr="009751C1" w:rsidRDefault="00A560C9" w:rsidP="00B641CC">
      <w:pPr>
        <w:spacing w:before="60" w:line="360" w:lineRule="auto"/>
        <w:ind w:left="454"/>
        <w:rPr>
          <w:rFonts w:ascii="Calibri" w:hAnsi="Calibri"/>
          <w:sz w:val="24"/>
          <w:szCs w:val="24"/>
        </w:rPr>
      </w:pPr>
      <w:r w:rsidRPr="009751C1">
        <w:rPr>
          <w:rFonts w:ascii="Calibri" w:hAnsi="Calibri"/>
          <w:b/>
          <w:sz w:val="24"/>
          <w:szCs w:val="24"/>
        </w:rPr>
        <w:t>Ryzyko rezydualne</w:t>
      </w:r>
      <w:r w:rsidRPr="009751C1">
        <w:rPr>
          <w:rFonts w:ascii="Calibri" w:hAnsi="Calibri"/>
          <w:sz w:val="24"/>
          <w:szCs w:val="24"/>
        </w:rPr>
        <w:t xml:space="preserve"> – ryzyko pozostające po zastosowaniu mechanizmów kontrolnych.</w:t>
      </w:r>
    </w:p>
    <w:p w14:paraId="48807484" w14:textId="77777777" w:rsidR="00771637" w:rsidRPr="009751C1" w:rsidRDefault="000D1D13" w:rsidP="00B641CC">
      <w:pPr>
        <w:spacing w:before="60" w:line="360" w:lineRule="auto"/>
        <w:ind w:left="454"/>
        <w:rPr>
          <w:rFonts w:ascii="Calibri" w:hAnsi="Calibri"/>
          <w:sz w:val="24"/>
          <w:szCs w:val="24"/>
        </w:rPr>
      </w:pPr>
      <w:r w:rsidRPr="009751C1">
        <w:rPr>
          <w:rFonts w:ascii="Calibri" w:hAnsi="Calibri"/>
          <w:b/>
          <w:sz w:val="24"/>
          <w:szCs w:val="24"/>
        </w:rPr>
        <w:t>Apetyt na ryzyko</w:t>
      </w:r>
      <w:r w:rsidRPr="009751C1">
        <w:rPr>
          <w:rFonts w:ascii="Calibri" w:hAnsi="Calibri"/>
          <w:sz w:val="24"/>
          <w:szCs w:val="24"/>
        </w:rPr>
        <w:t xml:space="preserve"> –</w:t>
      </w:r>
      <w:r w:rsidR="006652C9" w:rsidRPr="009751C1">
        <w:rPr>
          <w:rFonts w:ascii="Calibri" w:hAnsi="Calibri"/>
          <w:sz w:val="24"/>
          <w:szCs w:val="24"/>
        </w:rPr>
        <w:t xml:space="preserve"> poziom ryzyka, który jest oceniany jako dopuszczalny i uzasadniony.</w:t>
      </w:r>
      <w:r w:rsidR="00EA6430" w:rsidRPr="009751C1">
        <w:rPr>
          <w:rFonts w:ascii="Calibri" w:hAnsi="Calibri"/>
          <w:sz w:val="24"/>
          <w:szCs w:val="24"/>
        </w:rPr>
        <w:t xml:space="preserve"> Apetyt na ryzyko może być</w:t>
      </w:r>
      <w:r w:rsidR="00AC6F19" w:rsidRPr="009751C1">
        <w:rPr>
          <w:rFonts w:ascii="Calibri" w:hAnsi="Calibri"/>
          <w:sz w:val="24"/>
          <w:szCs w:val="24"/>
        </w:rPr>
        <w:t xml:space="preserve"> wyra</w:t>
      </w:r>
      <w:r w:rsidR="00EA6430" w:rsidRPr="009751C1">
        <w:rPr>
          <w:rFonts w:ascii="Calibri" w:hAnsi="Calibri"/>
          <w:sz w:val="24"/>
          <w:szCs w:val="24"/>
        </w:rPr>
        <w:t>żony</w:t>
      </w:r>
      <w:r w:rsidR="00AC6F19" w:rsidRPr="009751C1">
        <w:rPr>
          <w:rFonts w:ascii="Calibri" w:hAnsi="Calibri"/>
          <w:sz w:val="24"/>
          <w:szCs w:val="24"/>
        </w:rPr>
        <w:t xml:space="preserve"> </w:t>
      </w:r>
      <w:r w:rsidR="00D266FB" w:rsidRPr="009751C1">
        <w:rPr>
          <w:rFonts w:ascii="Calibri" w:hAnsi="Calibri"/>
          <w:sz w:val="24"/>
          <w:szCs w:val="24"/>
        </w:rPr>
        <w:t>poprzez serię</w:t>
      </w:r>
      <w:r w:rsidR="00AC6F19" w:rsidRPr="009751C1">
        <w:rPr>
          <w:rFonts w:ascii="Calibri" w:hAnsi="Calibri"/>
          <w:sz w:val="24"/>
          <w:szCs w:val="24"/>
        </w:rPr>
        <w:t xml:space="preserve"> limitów, określonych dla poszczególnych poziomów kierownictwa. (np. upoważnienie do podpisywania umów </w:t>
      </w:r>
      <w:r w:rsidR="00D266FB" w:rsidRPr="009751C1">
        <w:rPr>
          <w:rFonts w:ascii="Calibri" w:hAnsi="Calibri"/>
          <w:sz w:val="24"/>
          <w:szCs w:val="24"/>
        </w:rPr>
        <w:t>d</w:t>
      </w:r>
      <w:r w:rsidR="00AC6F19" w:rsidRPr="009751C1">
        <w:rPr>
          <w:rFonts w:ascii="Calibri" w:hAnsi="Calibri"/>
          <w:sz w:val="24"/>
          <w:szCs w:val="24"/>
        </w:rPr>
        <w:t xml:space="preserve">o </w:t>
      </w:r>
      <w:r w:rsidR="00D266FB" w:rsidRPr="009751C1">
        <w:rPr>
          <w:rFonts w:ascii="Calibri" w:hAnsi="Calibri"/>
          <w:sz w:val="24"/>
          <w:szCs w:val="24"/>
        </w:rPr>
        <w:t xml:space="preserve">określonej </w:t>
      </w:r>
      <w:r w:rsidR="00AC6F19" w:rsidRPr="009751C1">
        <w:rPr>
          <w:rFonts w:ascii="Calibri" w:hAnsi="Calibri"/>
          <w:sz w:val="24"/>
          <w:szCs w:val="24"/>
        </w:rPr>
        <w:t>wartości)</w:t>
      </w:r>
      <w:r w:rsidR="00D266FB" w:rsidRPr="009751C1">
        <w:rPr>
          <w:rFonts w:ascii="Calibri" w:hAnsi="Calibri"/>
          <w:sz w:val="24"/>
          <w:szCs w:val="24"/>
        </w:rPr>
        <w:t xml:space="preserve">. Apetyt na ryzyko może być ustalony odrębnie dla </w:t>
      </w:r>
      <w:r w:rsidR="007257A0" w:rsidRPr="009751C1">
        <w:rPr>
          <w:rFonts w:ascii="Calibri" w:hAnsi="Calibri"/>
          <w:sz w:val="24"/>
          <w:szCs w:val="24"/>
        </w:rPr>
        <w:t xml:space="preserve">poszczególnych </w:t>
      </w:r>
      <w:r w:rsidR="00D266FB" w:rsidRPr="009751C1">
        <w:rPr>
          <w:rFonts w:ascii="Calibri" w:hAnsi="Calibri"/>
          <w:sz w:val="24"/>
          <w:szCs w:val="24"/>
        </w:rPr>
        <w:t>obszarów działalności Uczelni.</w:t>
      </w:r>
      <w:r w:rsidR="00AC6F19" w:rsidRPr="009751C1">
        <w:rPr>
          <w:rFonts w:ascii="Calibri" w:hAnsi="Calibri"/>
          <w:sz w:val="24"/>
          <w:szCs w:val="24"/>
        </w:rPr>
        <w:t xml:space="preserve"> </w:t>
      </w:r>
    </w:p>
    <w:p w14:paraId="0302CD5D" w14:textId="77777777" w:rsidR="002A2090" w:rsidRPr="009751C1" w:rsidRDefault="002A2090" w:rsidP="00B641CC">
      <w:pPr>
        <w:spacing w:before="60" w:line="360" w:lineRule="auto"/>
        <w:ind w:left="454"/>
        <w:rPr>
          <w:rFonts w:ascii="Calibri" w:hAnsi="Calibri"/>
          <w:sz w:val="24"/>
          <w:szCs w:val="24"/>
        </w:rPr>
      </w:pPr>
      <w:r w:rsidRPr="009751C1">
        <w:rPr>
          <w:rFonts w:ascii="Calibri" w:hAnsi="Calibri"/>
          <w:b/>
          <w:sz w:val="24"/>
          <w:szCs w:val="24"/>
        </w:rPr>
        <w:t xml:space="preserve">Akceptowalny poziom ryzyka </w:t>
      </w:r>
      <w:r w:rsidR="00166252" w:rsidRPr="009751C1">
        <w:rPr>
          <w:rFonts w:ascii="Calibri" w:hAnsi="Calibri"/>
          <w:sz w:val="24"/>
          <w:szCs w:val="24"/>
        </w:rPr>
        <w:t>–</w:t>
      </w:r>
      <w:r w:rsidRPr="009751C1">
        <w:rPr>
          <w:rFonts w:ascii="Calibri" w:hAnsi="Calibri"/>
          <w:sz w:val="24"/>
          <w:szCs w:val="24"/>
        </w:rPr>
        <w:t xml:space="preserve"> </w:t>
      </w:r>
      <w:r w:rsidR="00166252" w:rsidRPr="009751C1">
        <w:rPr>
          <w:rFonts w:ascii="Calibri" w:hAnsi="Calibri"/>
          <w:sz w:val="24"/>
          <w:szCs w:val="24"/>
        </w:rPr>
        <w:t>poziom ryzyka, które właściciel ryzyka jest gotowy przyjąć (zaakceptować) bez podejmowania dodatkowych działań lub zmian w istniejących mechanizmach kontrolnych.</w:t>
      </w:r>
    </w:p>
    <w:p w14:paraId="1D8D215C" w14:textId="77777777" w:rsidR="002A2090" w:rsidRPr="009751C1" w:rsidRDefault="002A2090" w:rsidP="00B641CC">
      <w:pPr>
        <w:pStyle w:val="Rozdzia"/>
      </w:pPr>
      <w:r w:rsidRPr="009751C1">
        <w:t>Ustalenie głównych celów działalności Uczelni</w:t>
      </w:r>
    </w:p>
    <w:p w14:paraId="672E6C0C" w14:textId="04CA348E" w:rsidR="00166252" w:rsidRPr="009751C1" w:rsidRDefault="00166252" w:rsidP="008769B9">
      <w:pPr>
        <w:spacing w:line="360" w:lineRule="auto"/>
        <w:ind w:left="340"/>
        <w:rPr>
          <w:rFonts w:ascii="Calibri" w:hAnsi="Calibri"/>
          <w:sz w:val="24"/>
          <w:szCs w:val="24"/>
        </w:rPr>
      </w:pPr>
      <w:r w:rsidRPr="009751C1">
        <w:rPr>
          <w:rFonts w:ascii="Calibri" w:hAnsi="Calibri"/>
          <w:sz w:val="24"/>
          <w:szCs w:val="24"/>
        </w:rPr>
        <w:t>Główne c</w:t>
      </w:r>
      <w:r w:rsidR="002A2090" w:rsidRPr="009751C1">
        <w:rPr>
          <w:rFonts w:ascii="Calibri" w:hAnsi="Calibri"/>
          <w:sz w:val="24"/>
          <w:szCs w:val="24"/>
        </w:rPr>
        <w:t>ele Uczelni zostały określone</w:t>
      </w:r>
      <w:r w:rsidR="002A2090" w:rsidRPr="009751C1">
        <w:rPr>
          <w:rFonts w:ascii="Calibri" w:hAnsi="Calibri"/>
          <w:i/>
          <w:color w:val="FF0000"/>
          <w:sz w:val="24"/>
          <w:szCs w:val="24"/>
        </w:rPr>
        <w:t xml:space="preserve"> </w:t>
      </w:r>
      <w:r w:rsidR="002A2090" w:rsidRPr="009751C1">
        <w:rPr>
          <w:rFonts w:ascii="Calibri" w:hAnsi="Calibri"/>
          <w:sz w:val="24"/>
          <w:szCs w:val="24"/>
        </w:rPr>
        <w:t>w</w:t>
      </w:r>
      <w:r w:rsidR="00844FBE" w:rsidRPr="009751C1">
        <w:rPr>
          <w:rFonts w:ascii="Calibri" w:hAnsi="Calibri"/>
          <w:sz w:val="24"/>
          <w:szCs w:val="24"/>
        </w:rPr>
        <w:t>:</w:t>
      </w:r>
      <w:r w:rsidR="002A2090" w:rsidRPr="009751C1">
        <w:rPr>
          <w:rFonts w:ascii="Calibri" w:hAnsi="Calibri"/>
          <w:sz w:val="24"/>
          <w:szCs w:val="24"/>
        </w:rPr>
        <w:t xml:space="preserve"> </w:t>
      </w:r>
      <w:r w:rsidRPr="009751C1">
        <w:rPr>
          <w:rFonts w:ascii="Calibri" w:hAnsi="Calibri"/>
          <w:sz w:val="24"/>
          <w:szCs w:val="24"/>
        </w:rPr>
        <w:t>Strategii Rozwoju ZUT na lata 2021</w:t>
      </w:r>
      <w:r w:rsidR="003C71AC" w:rsidRPr="009751C1">
        <w:rPr>
          <w:rFonts w:ascii="Calibri" w:hAnsi="Calibri"/>
          <w:sz w:val="24"/>
          <w:szCs w:val="24"/>
        </w:rPr>
        <w:t xml:space="preserve"> – </w:t>
      </w:r>
      <w:r w:rsidRPr="009751C1">
        <w:rPr>
          <w:rFonts w:ascii="Calibri" w:hAnsi="Calibri"/>
          <w:sz w:val="24"/>
          <w:szCs w:val="24"/>
        </w:rPr>
        <w:t>2025, ustawie</w:t>
      </w:r>
      <w:r w:rsidR="008769B9">
        <w:rPr>
          <w:rFonts w:ascii="Calibri" w:hAnsi="Calibri"/>
          <w:sz w:val="24"/>
          <w:szCs w:val="24"/>
        </w:rPr>
        <w:t> </w:t>
      </w:r>
      <w:r w:rsidRPr="009751C1">
        <w:rPr>
          <w:rFonts w:ascii="Calibri" w:hAnsi="Calibri"/>
          <w:sz w:val="24"/>
          <w:szCs w:val="24"/>
        </w:rPr>
        <w:t>z</w:t>
      </w:r>
      <w:r w:rsidR="003C71AC" w:rsidRPr="009751C1">
        <w:rPr>
          <w:rFonts w:ascii="Calibri" w:hAnsi="Calibri"/>
          <w:sz w:val="24"/>
          <w:szCs w:val="24"/>
        </w:rPr>
        <w:t> </w:t>
      </w:r>
      <w:r w:rsidRPr="009751C1">
        <w:rPr>
          <w:rFonts w:ascii="Calibri" w:hAnsi="Calibri"/>
          <w:sz w:val="24"/>
          <w:szCs w:val="24"/>
        </w:rPr>
        <w:t>dnia 20 lipca 2018 r.</w:t>
      </w:r>
      <w:r w:rsidRPr="009751C1">
        <w:rPr>
          <w:rFonts w:ascii="Calibri" w:hAnsi="Calibri"/>
          <w:iCs/>
          <w:sz w:val="24"/>
          <w:szCs w:val="24"/>
        </w:rPr>
        <w:t xml:space="preserve"> Prawo o szkolnictwie wyższym i nauce</w:t>
      </w:r>
      <w:r w:rsidRPr="009751C1">
        <w:rPr>
          <w:rFonts w:ascii="Calibri" w:hAnsi="Calibri"/>
          <w:sz w:val="24"/>
          <w:szCs w:val="24"/>
        </w:rPr>
        <w:t>, oraz Statucie ZUT</w:t>
      </w:r>
      <w:r w:rsidR="002A2090" w:rsidRPr="009751C1">
        <w:rPr>
          <w:rFonts w:ascii="Calibri" w:hAnsi="Calibri"/>
          <w:sz w:val="24"/>
          <w:szCs w:val="24"/>
        </w:rPr>
        <w:t>.</w:t>
      </w:r>
      <w:r w:rsidR="008769B9">
        <w:rPr>
          <w:rFonts w:ascii="Calibri" w:hAnsi="Calibri"/>
          <w:sz w:val="24"/>
          <w:szCs w:val="24"/>
        </w:rPr>
        <w:br/>
      </w:r>
      <w:r w:rsidRPr="009751C1">
        <w:rPr>
          <w:rFonts w:ascii="Calibri" w:hAnsi="Calibri"/>
          <w:sz w:val="24"/>
          <w:szCs w:val="24"/>
        </w:rPr>
        <w:t xml:space="preserve">Zadania Uczelni i jej jednostek </w:t>
      </w:r>
      <w:r w:rsidR="007B5FFD" w:rsidRPr="009751C1">
        <w:rPr>
          <w:rFonts w:ascii="Calibri" w:hAnsi="Calibri"/>
          <w:sz w:val="24"/>
          <w:szCs w:val="24"/>
        </w:rPr>
        <w:t xml:space="preserve">organizacyjnych </w:t>
      </w:r>
      <w:r w:rsidRPr="009751C1">
        <w:rPr>
          <w:rFonts w:ascii="Calibri" w:hAnsi="Calibri"/>
          <w:sz w:val="24"/>
          <w:szCs w:val="24"/>
        </w:rPr>
        <w:t>określone są w szczególności w wewnętrznych aktach prawnych, w tym w Regulaminie organizacyjnym ZUT.</w:t>
      </w:r>
    </w:p>
    <w:p w14:paraId="7AF3E6FE" w14:textId="77777777" w:rsidR="00B302D0" w:rsidRPr="009751C1" w:rsidRDefault="00B302D0" w:rsidP="008769B9">
      <w:pPr>
        <w:pStyle w:val="Rozdzia"/>
        <w:keepNext/>
      </w:pPr>
      <w:r w:rsidRPr="009751C1">
        <w:lastRenderedPageBreak/>
        <w:t xml:space="preserve">Przebieg </w:t>
      </w:r>
      <w:r w:rsidR="00A560C9" w:rsidRPr="009751C1">
        <w:t xml:space="preserve">i uczestnicy </w:t>
      </w:r>
      <w:r w:rsidRPr="009751C1">
        <w:t>procesu zarządzania ryzykiem</w:t>
      </w:r>
    </w:p>
    <w:p w14:paraId="79F187EB" w14:textId="77777777" w:rsidR="00B904B0" w:rsidRPr="009751C1" w:rsidRDefault="00B904B0" w:rsidP="00B641CC">
      <w:pPr>
        <w:numPr>
          <w:ilvl w:val="1"/>
          <w:numId w:val="12"/>
        </w:numPr>
        <w:spacing w:before="60" w:line="360" w:lineRule="auto"/>
        <w:ind w:left="454" w:hanging="454"/>
        <w:rPr>
          <w:rFonts w:ascii="Calibri" w:hAnsi="Calibri"/>
          <w:sz w:val="24"/>
          <w:szCs w:val="24"/>
        </w:rPr>
      </w:pPr>
      <w:r w:rsidRPr="009751C1">
        <w:rPr>
          <w:rFonts w:ascii="Calibri" w:hAnsi="Calibri"/>
          <w:sz w:val="24"/>
          <w:szCs w:val="24"/>
        </w:rPr>
        <w:t>W procesie zarządzania ryzykiem uczestniczą:</w:t>
      </w:r>
    </w:p>
    <w:p w14:paraId="41F84712" w14:textId="77777777" w:rsidR="00B904B0" w:rsidRPr="009751C1" w:rsidRDefault="00DF7A05" w:rsidP="008769B9">
      <w:pPr>
        <w:numPr>
          <w:ilvl w:val="2"/>
          <w:numId w:val="18"/>
        </w:numPr>
        <w:spacing w:line="360" w:lineRule="auto"/>
        <w:ind w:left="709" w:hanging="284"/>
        <w:rPr>
          <w:rFonts w:ascii="Calibri" w:hAnsi="Calibri"/>
          <w:sz w:val="24"/>
          <w:szCs w:val="24"/>
        </w:rPr>
      </w:pPr>
      <w:r w:rsidRPr="009751C1">
        <w:rPr>
          <w:rFonts w:ascii="Calibri" w:hAnsi="Calibri"/>
          <w:sz w:val="24"/>
          <w:szCs w:val="24"/>
        </w:rPr>
        <w:t>R</w:t>
      </w:r>
      <w:r w:rsidR="00B904B0" w:rsidRPr="009751C1">
        <w:rPr>
          <w:rFonts w:ascii="Calibri" w:hAnsi="Calibri"/>
          <w:sz w:val="24"/>
          <w:szCs w:val="24"/>
        </w:rPr>
        <w:t>ektor,</w:t>
      </w:r>
    </w:p>
    <w:p w14:paraId="6CCB4B63" w14:textId="77777777" w:rsidR="00B904B0" w:rsidRPr="009751C1" w:rsidRDefault="00B904B0" w:rsidP="008769B9">
      <w:pPr>
        <w:numPr>
          <w:ilvl w:val="2"/>
          <w:numId w:val="18"/>
        </w:numPr>
        <w:spacing w:line="360" w:lineRule="auto"/>
        <w:ind w:left="709" w:hanging="284"/>
        <w:rPr>
          <w:rFonts w:ascii="Calibri" w:hAnsi="Calibri"/>
          <w:sz w:val="24"/>
          <w:szCs w:val="24"/>
        </w:rPr>
      </w:pPr>
      <w:r w:rsidRPr="009751C1">
        <w:rPr>
          <w:rFonts w:ascii="Calibri" w:hAnsi="Calibri"/>
          <w:sz w:val="24"/>
          <w:szCs w:val="24"/>
        </w:rPr>
        <w:t xml:space="preserve">kierownicy wyższego szczebla, </w:t>
      </w:r>
    </w:p>
    <w:p w14:paraId="4E180A9A" w14:textId="77777777" w:rsidR="00B904B0" w:rsidRPr="009751C1" w:rsidRDefault="00B904B0" w:rsidP="008769B9">
      <w:pPr>
        <w:numPr>
          <w:ilvl w:val="2"/>
          <w:numId w:val="18"/>
        </w:numPr>
        <w:spacing w:line="360" w:lineRule="auto"/>
        <w:ind w:left="709" w:hanging="284"/>
        <w:rPr>
          <w:rFonts w:ascii="Calibri" w:hAnsi="Calibri"/>
          <w:sz w:val="24"/>
          <w:szCs w:val="24"/>
        </w:rPr>
      </w:pPr>
      <w:r w:rsidRPr="009751C1">
        <w:rPr>
          <w:rFonts w:ascii="Calibri" w:hAnsi="Calibri"/>
          <w:sz w:val="24"/>
          <w:szCs w:val="24"/>
        </w:rPr>
        <w:t>komitet ds. ryzyka, w skład którego wchodzą: prorektorzy, kanclerz, kwestor, audytor wewnętrzny,</w:t>
      </w:r>
    </w:p>
    <w:p w14:paraId="0B5B96AE" w14:textId="77777777" w:rsidR="00B904B0" w:rsidRPr="009751C1" w:rsidRDefault="00B904B0" w:rsidP="008769B9">
      <w:pPr>
        <w:numPr>
          <w:ilvl w:val="2"/>
          <w:numId w:val="18"/>
        </w:numPr>
        <w:spacing w:line="360" w:lineRule="auto"/>
        <w:ind w:left="709" w:hanging="284"/>
        <w:rPr>
          <w:rFonts w:ascii="Calibri" w:hAnsi="Calibri"/>
          <w:sz w:val="24"/>
          <w:szCs w:val="24"/>
        </w:rPr>
      </w:pPr>
      <w:r w:rsidRPr="009751C1">
        <w:rPr>
          <w:rFonts w:ascii="Calibri" w:hAnsi="Calibri"/>
          <w:sz w:val="24"/>
          <w:szCs w:val="24"/>
        </w:rPr>
        <w:t>pracownicy jednostek organizacyjnych Uczelni,</w:t>
      </w:r>
    </w:p>
    <w:p w14:paraId="53B057CB" w14:textId="77777777" w:rsidR="00B904B0" w:rsidRPr="009751C1" w:rsidRDefault="00B904B0" w:rsidP="008769B9">
      <w:pPr>
        <w:numPr>
          <w:ilvl w:val="2"/>
          <w:numId w:val="18"/>
        </w:numPr>
        <w:spacing w:line="360" w:lineRule="auto"/>
        <w:ind w:left="709" w:hanging="284"/>
        <w:rPr>
          <w:rFonts w:ascii="Calibri" w:hAnsi="Calibri"/>
          <w:sz w:val="24"/>
          <w:szCs w:val="24"/>
        </w:rPr>
      </w:pPr>
      <w:r w:rsidRPr="009751C1">
        <w:rPr>
          <w:rFonts w:ascii="Calibri" w:hAnsi="Calibri"/>
          <w:sz w:val="24"/>
          <w:szCs w:val="24"/>
        </w:rPr>
        <w:t>audytor wewnętrzny.</w:t>
      </w:r>
    </w:p>
    <w:p w14:paraId="2F24E4A2" w14:textId="3FAEA361" w:rsidR="00EA6430" w:rsidRPr="009751C1" w:rsidRDefault="00316BA9" w:rsidP="00B641CC">
      <w:pPr>
        <w:numPr>
          <w:ilvl w:val="1"/>
          <w:numId w:val="12"/>
        </w:numPr>
        <w:spacing w:before="120" w:line="360" w:lineRule="auto"/>
        <w:ind w:left="454" w:hanging="454"/>
        <w:rPr>
          <w:rFonts w:ascii="Calibri" w:hAnsi="Calibri"/>
          <w:sz w:val="24"/>
          <w:szCs w:val="24"/>
        </w:rPr>
      </w:pPr>
      <w:r w:rsidRPr="009751C1">
        <w:rPr>
          <w:rFonts w:ascii="Calibri" w:hAnsi="Calibri"/>
          <w:sz w:val="24"/>
          <w:szCs w:val="24"/>
        </w:rPr>
        <w:t xml:space="preserve">Rektor </w:t>
      </w:r>
      <w:r w:rsidR="003C71AC" w:rsidRPr="009751C1">
        <w:rPr>
          <w:rFonts w:ascii="Calibri" w:hAnsi="Calibri"/>
          <w:sz w:val="24"/>
          <w:szCs w:val="24"/>
        </w:rPr>
        <w:t xml:space="preserve">w Procedurze </w:t>
      </w:r>
      <w:r w:rsidR="00A848B3" w:rsidRPr="009751C1">
        <w:rPr>
          <w:rFonts w:ascii="Calibri" w:hAnsi="Calibri"/>
          <w:iCs/>
          <w:sz w:val="24"/>
          <w:szCs w:val="24"/>
        </w:rPr>
        <w:t>zarządzania ryzykiem</w:t>
      </w:r>
      <w:r w:rsidR="002A2090" w:rsidRPr="009751C1">
        <w:rPr>
          <w:rFonts w:ascii="Calibri" w:hAnsi="Calibri"/>
          <w:sz w:val="24"/>
          <w:szCs w:val="24"/>
        </w:rPr>
        <w:t xml:space="preserve"> określa w</w:t>
      </w:r>
      <w:r w:rsidR="006B03F3" w:rsidRPr="009751C1">
        <w:rPr>
          <w:rFonts w:ascii="Calibri" w:hAnsi="Calibri"/>
          <w:sz w:val="24"/>
          <w:szCs w:val="24"/>
        </w:rPr>
        <w:t> </w:t>
      </w:r>
      <w:r w:rsidR="002A2090" w:rsidRPr="009751C1">
        <w:rPr>
          <w:rFonts w:ascii="Calibri" w:hAnsi="Calibri"/>
          <w:sz w:val="24"/>
          <w:szCs w:val="24"/>
        </w:rPr>
        <w:t>szczególności</w:t>
      </w:r>
      <w:r w:rsidR="00760C27" w:rsidRPr="009751C1">
        <w:rPr>
          <w:rFonts w:ascii="Calibri" w:hAnsi="Calibri"/>
          <w:sz w:val="24"/>
          <w:szCs w:val="24"/>
        </w:rPr>
        <w:t>:</w:t>
      </w:r>
      <w:r w:rsidR="002A2090" w:rsidRPr="009751C1">
        <w:rPr>
          <w:rFonts w:ascii="Calibri" w:hAnsi="Calibri"/>
          <w:sz w:val="24"/>
          <w:szCs w:val="24"/>
        </w:rPr>
        <w:t xml:space="preserve"> uprawnienia, odpowiedzialność i zadania osób biorących udział w procesie zarządzania ryzykiem, </w:t>
      </w:r>
      <w:r w:rsidR="00760C27" w:rsidRPr="009751C1">
        <w:rPr>
          <w:rFonts w:ascii="Calibri" w:hAnsi="Calibri"/>
          <w:sz w:val="24"/>
          <w:szCs w:val="24"/>
        </w:rPr>
        <w:t xml:space="preserve">przebieg procesu, </w:t>
      </w:r>
      <w:r w:rsidR="002A2090" w:rsidRPr="009751C1">
        <w:rPr>
          <w:rFonts w:ascii="Calibri" w:hAnsi="Calibri"/>
          <w:sz w:val="24"/>
          <w:szCs w:val="24"/>
        </w:rPr>
        <w:t>a także sposób dokumentowania podejmowanych działań.</w:t>
      </w:r>
    </w:p>
    <w:p w14:paraId="3563E52E" w14:textId="77777777" w:rsidR="005E75EB" w:rsidRPr="009751C1" w:rsidRDefault="005E75EB" w:rsidP="00B641CC">
      <w:pPr>
        <w:pStyle w:val="Rozdzia"/>
      </w:pPr>
      <w:r w:rsidRPr="009751C1">
        <w:t>Elementy procesu zarządzania ryzykiem</w:t>
      </w:r>
    </w:p>
    <w:p w14:paraId="545BF6BE" w14:textId="77777777" w:rsidR="00B302D0" w:rsidRPr="009751C1" w:rsidRDefault="00B302D0" w:rsidP="00B641CC">
      <w:pPr>
        <w:pStyle w:val="podrozdzia"/>
      </w:pPr>
      <w:r w:rsidRPr="009751C1">
        <w:t>Identyfikacja ryzyka</w:t>
      </w:r>
    </w:p>
    <w:p w14:paraId="6715B97A" w14:textId="77777777" w:rsidR="00B9246E" w:rsidRPr="009751C1" w:rsidRDefault="00EC2708" w:rsidP="00B641CC">
      <w:pPr>
        <w:numPr>
          <w:ilvl w:val="2"/>
          <w:numId w:val="13"/>
        </w:numPr>
        <w:spacing w:before="60" w:line="360" w:lineRule="auto"/>
        <w:ind w:left="680" w:hanging="680"/>
        <w:rPr>
          <w:rFonts w:ascii="Calibri" w:hAnsi="Calibri"/>
          <w:sz w:val="24"/>
          <w:szCs w:val="24"/>
        </w:rPr>
      </w:pPr>
      <w:r w:rsidRPr="009751C1">
        <w:rPr>
          <w:rFonts w:ascii="Calibri" w:hAnsi="Calibri"/>
          <w:sz w:val="24"/>
          <w:szCs w:val="24"/>
        </w:rPr>
        <w:t>Identyfikacja zewnętrznego i wewnętrznego ryzyka zwią</w:t>
      </w:r>
      <w:r w:rsidR="00981621" w:rsidRPr="009751C1">
        <w:rPr>
          <w:rFonts w:ascii="Calibri" w:hAnsi="Calibri"/>
          <w:sz w:val="24"/>
          <w:szCs w:val="24"/>
        </w:rPr>
        <w:t xml:space="preserve">zanego z celami </w:t>
      </w:r>
      <w:r w:rsidR="00A560C9" w:rsidRPr="009751C1">
        <w:rPr>
          <w:rFonts w:ascii="Calibri" w:hAnsi="Calibri"/>
          <w:sz w:val="24"/>
          <w:szCs w:val="24"/>
        </w:rPr>
        <w:t xml:space="preserve">i zadaniami </w:t>
      </w:r>
      <w:r w:rsidR="00981621" w:rsidRPr="009751C1">
        <w:rPr>
          <w:rFonts w:ascii="Calibri" w:hAnsi="Calibri"/>
          <w:sz w:val="24"/>
          <w:szCs w:val="24"/>
        </w:rPr>
        <w:t>U</w:t>
      </w:r>
      <w:r w:rsidRPr="009751C1">
        <w:rPr>
          <w:rFonts w:ascii="Calibri" w:hAnsi="Calibri"/>
          <w:sz w:val="24"/>
          <w:szCs w:val="24"/>
        </w:rPr>
        <w:t>czelni wykonywana jest nie rzadziej niż raz w roku.</w:t>
      </w:r>
      <w:r w:rsidR="00485630" w:rsidRPr="009751C1">
        <w:rPr>
          <w:rFonts w:ascii="Calibri" w:hAnsi="Calibri"/>
          <w:sz w:val="24"/>
          <w:szCs w:val="24"/>
        </w:rPr>
        <w:t xml:space="preserve"> </w:t>
      </w:r>
    </w:p>
    <w:p w14:paraId="47797116" w14:textId="77777777" w:rsidR="00EA6430" w:rsidRPr="009751C1" w:rsidRDefault="00485630" w:rsidP="00B641CC">
      <w:pPr>
        <w:numPr>
          <w:ilvl w:val="2"/>
          <w:numId w:val="13"/>
        </w:numPr>
        <w:spacing w:before="60" w:line="360" w:lineRule="auto"/>
        <w:ind w:left="680" w:hanging="680"/>
        <w:rPr>
          <w:rFonts w:ascii="Calibri" w:hAnsi="Calibri"/>
          <w:sz w:val="24"/>
          <w:szCs w:val="24"/>
        </w:rPr>
      </w:pPr>
      <w:r w:rsidRPr="009751C1">
        <w:rPr>
          <w:rFonts w:ascii="Calibri" w:hAnsi="Calibri"/>
          <w:sz w:val="24"/>
          <w:szCs w:val="24"/>
        </w:rPr>
        <w:t>W przypadku istotnej zmiany warunków, w których funkcjonuje Uczelnia, względnie wystąpienia istotnych zmian wewnątrz Uczelni, identyfikacja ryzyka powinna zostać ponowiona.</w:t>
      </w:r>
    </w:p>
    <w:p w14:paraId="18F424D3" w14:textId="1AD4FF31" w:rsidR="00A560C9" w:rsidRPr="009751C1" w:rsidRDefault="003B5CB4" w:rsidP="00B641CC">
      <w:pPr>
        <w:numPr>
          <w:ilvl w:val="2"/>
          <w:numId w:val="13"/>
        </w:numPr>
        <w:spacing w:before="60" w:line="360" w:lineRule="auto"/>
        <w:ind w:left="680" w:hanging="680"/>
        <w:rPr>
          <w:rFonts w:ascii="Calibri" w:hAnsi="Calibri"/>
          <w:sz w:val="24"/>
          <w:szCs w:val="24"/>
        </w:rPr>
      </w:pPr>
      <w:r w:rsidRPr="009751C1">
        <w:rPr>
          <w:rFonts w:ascii="Calibri" w:hAnsi="Calibri"/>
          <w:sz w:val="24"/>
          <w:szCs w:val="24"/>
        </w:rPr>
        <w:t>Identyfikacja</w:t>
      </w:r>
      <w:r w:rsidR="00A3327E" w:rsidRPr="009751C1">
        <w:rPr>
          <w:rFonts w:ascii="Calibri" w:hAnsi="Calibri"/>
          <w:sz w:val="24"/>
          <w:szCs w:val="24"/>
        </w:rPr>
        <w:t xml:space="preserve"> ryzyka </w:t>
      </w:r>
      <w:r w:rsidR="00250C30" w:rsidRPr="009751C1">
        <w:rPr>
          <w:rFonts w:ascii="Calibri" w:hAnsi="Calibri"/>
          <w:sz w:val="24"/>
          <w:szCs w:val="24"/>
        </w:rPr>
        <w:t>dokonywana j</w:t>
      </w:r>
      <w:r w:rsidR="00F45F67" w:rsidRPr="009751C1">
        <w:rPr>
          <w:rFonts w:ascii="Calibri" w:hAnsi="Calibri"/>
          <w:sz w:val="24"/>
          <w:szCs w:val="24"/>
        </w:rPr>
        <w:t>est na dwóch poziomach: przez komitet ds. r</w:t>
      </w:r>
      <w:r w:rsidR="00250C30" w:rsidRPr="009751C1">
        <w:rPr>
          <w:rFonts w:ascii="Calibri" w:hAnsi="Calibri"/>
          <w:sz w:val="24"/>
          <w:szCs w:val="24"/>
        </w:rPr>
        <w:t>yzyka</w:t>
      </w:r>
      <w:r w:rsidR="00EA21E9" w:rsidRPr="009751C1">
        <w:rPr>
          <w:rFonts w:ascii="Calibri" w:hAnsi="Calibri"/>
          <w:sz w:val="24"/>
          <w:szCs w:val="24"/>
        </w:rPr>
        <w:t>,</w:t>
      </w:r>
      <w:r w:rsidR="00250C30" w:rsidRPr="009751C1">
        <w:rPr>
          <w:rFonts w:ascii="Calibri" w:hAnsi="Calibri"/>
          <w:sz w:val="24"/>
          <w:szCs w:val="24"/>
        </w:rPr>
        <w:t xml:space="preserve"> </w:t>
      </w:r>
      <w:r w:rsidR="00DF35A5" w:rsidRPr="009751C1">
        <w:rPr>
          <w:rFonts w:ascii="Calibri" w:hAnsi="Calibri"/>
          <w:sz w:val="24"/>
          <w:szCs w:val="24"/>
        </w:rPr>
        <w:t>który dokonuje analizy wszystkich działań podejmowanych w Uczelni i identyfikuje towarzyszące im ryzyka</w:t>
      </w:r>
      <w:r w:rsidR="003210C8" w:rsidRPr="009751C1">
        <w:rPr>
          <w:rFonts w:ascii="Calibri" w:hAnsi="Calibri"/>
          <w:sz w:val="24"/>
          <w:szCs w:val="24"/>
        </w:rPr>
        <w:t>,</w:t>
      </w:r>
      <w:r w:rsidR="00DF35A5" w:rsidRPr="009751C1">
        <w:rPr>
          <w:rFonts w:ascii="Calibri" w:hAnsi="Calibri"/>
          <w:sz w:val="24"/>
          <w:szCs w:val="24"/>
        </w:rPr>
        <w:t xml:space="preserve"> </w:t>
      </w:r>
      <w:r w:rsidR="00250C30" w:rsidRPr="009751C1">
        <w:rPr>
          <w:rFonts w:ascii="Calibri" w:hAnsi="Calibri"/>
          <w:sz w:val="24"/>
          <w:szCs w:val="24"/>
        </w:rPr>
        <w:t xml:space="preserve">oraz przez </w:t>
      </w:r>
      <w:r w:rsidR="003215FE" w:rsidRPr="009751C1">
        <w:rPr>
          <w:rFonts w:ascii="Calibri" w:hAnsi="Calibri"/>
          <w:sz w:val="24"/>
          <w:szCs w:val="24"/>
        </w:rPr>
        <w:t>wskazanych</w:t>
      </w:r>
      <w:r w:rsidR="00250C30" w:rsidRPr="009751C1">
        <w:rPr>
          <w:rFonts w:ascii="Calibri" w:hAnsi="Calibri"/>
          <w:sz w:val="24"/>
          <w:szCs w:val="24"/>
        </w:rPr>
        <w:t xml:space="preserve"> </w:t>
      </w:r>
      <w:r w:rsidR="00DD0ADB" w:rsidRPr="009751C1">
        <w:rPr>
          <w:rFonts w:ascii="Calibri" w:hAnsi="Calibri"/>
          <w:sz w:val="24"/>
          <w:szCs w:val="24"/>
        </w:rPr>
        <w:t>pracowników, którzy dokonują samooceny ryzyka</w:t>
      </w:r>
      <w:r w:rsidR="00C1040B" w:rsidRPr="009751C1">
        <w:rPr>
          <w:rFonts w:ascii="Calibri" w:hAnsi="Calibri"/>
          <w:sz w:val="24"/>
          <w:szCs w:val="24"/>
        </w:rPr>
        <w:t xml:space="preserve">. </w:t>
      </w:r>
    </w:p>
    <w:p w14:paraId="69355F3C" w14:textId="77777777" w:rsidR="00DD0ADB" w:rsidRPr="009751C1" w:rsidRDefault="00C1040B" w:rsidP="00B641CC">
      <w:pPr>
        <w:keepLines/>
        <w:numPr>
          <w:ilvl w:val="2"/>
          <w:numId w:val="13"/>
        </w:numPr>
        <w:spacing w:before="60" w:line="360" w:lineRule="auto"/>
        <w:ind w:left="680" w:hanging="680"/>
        <w:rPr>
          <w:rFonts w:ascii="Calibri" w:hAnsi="Calibri"/>
          <w:sz w:val="24"/>
          <w:szCs w:val="24"/>
        </w:rPr>
      </w:pPr>
      <w:r w:rsidRPr="009751C1">
        <w:rPr>
          <w:rFonts w:ascii="Calibri" w:hAnsi="Calibri"/>
          <w:sz w:val="24"/>
          <w:szCs w:val="24"/>
        </w:rPr>
        <w:t xml:space="preserve">Na samoocenę ryzyka </w:t>
      </w:r>
      <w:r w:rsidR="00844FBE" w:rsidRPr="009751C1">
        <w:rPr>
          <w:rFonts w:ascii="Calibri" w:hAnsi="Calibri"/>
          <w:sz w:val="24"/>
          <w:szCs w:val="24"/>
        </w:rPr>
        <w:t>składają</w:t>
      </w:r>
      <w:r w:rsidR="00DD0ADB" w:rsidRPr="009751C1">
        <w:rPr>
          <w:rFonts w:ascii="Calibri" w:hAnsi="Calibri"/>
          <w:sz w:val="24"/>
          <w:szCs w:val="24"/>
        </w:rPr>
        <w:t xml:space="preserve"> się</w:t>
      </w:r>
      <w:r w:rsidR="009148DB" w:rsidRPr="009751C1">
        <w:rPr>
          <w:rFonts w:ascii="Calibri" w:hAnsi="Calibri"/>
          <w:sz w:val="24"/>
          <w:szCs w:val="24"/>
        </w:rPr>
        <w:t xml:space="preserve"> w szczególności</w:t>
      </w:r>
      <w:r w:rsidR="00DD0ADB" w:rsidRPr="009751C1">
        <w:rPr>
          <w:rFonts w:ascii="Calibri" w:hAnsi="Calibri"/>
          <w:sz w:val="24"/>
          <w:szCs w:val="24"/>
        </w:rPr>
        <w:t xml:space="preserve">: przegląd działań wykonywanych przez pracownika, zidentyfikowanie </w:t>
      </w:r>
      <w:r w:rsidR="00A560C9" w:rsidRPr="009751C1">
        <w:rPr>
          <w:rFonts w:ascii="Calibri" w:hAnsi="Calibri"/>
          <w:sz w:val="24"/>
          <w:szCs w:val="24"/>
        </w:rPr>
        <w:t>i opis</w:t>
      </w:r>
      <w:r w:rsidR="007B5FFD" w:rsidRPr="009751C1">
        <w:rPr>
          <w:rFonts w:ascii="Calibri" w:hAnsi="Calibri"/>
          <w:sz w:val="24"/>
          <w:szCs w:val="24"/>
        </w:rPr>
        <w:t>anie</w:t>
      </w:r>
      <w:r w:rsidR="00A560C9" w:rsidRPr="009751C1">
        <w:rPr>
          <w:rFonts w:ascii="Calibri" w:hAnsi="Calibri"/>
          <w:sz w:val="24"/>
          <w:szCs w:val="24"/>
        </w:rPr>
        <w:t xml:space="preserve"> </w:t>
      </w:r>
      <w:r w:rsidR="00DD0ADB" w:rsidRPr="009751C1">
        <w:rPr>
          <w:rFonts w:ascii="Calibri" w:hAnsi="Calibri"/>
          <w:sz w:val="24"/>
          <w:szCs w:val="24"/>
        </w:rPr>
        <w:t>ryzyk towarzyszących tym działaniom</w:t>
      </w:r>
      <w:r w:rsidR="00A560C9" w:rsidRPr="009751C1">
        <w:rPr>
          <w:rFonts w:ascii="Calibri" w:hAnsi="Calibri"/>
          <w:sz w:val="24"/>
          <w:szCs w:val="24"/>
        </w:rPr>
        <w:t xml:space="preserve"> (przyczyny i</w:t>
      </w:r>
      <w:r w:rsidR="00B92D06" w:rsidRPr="009751C1">
        <w:rPr>
          <w:rFonts w:ascii="Calibri" w:hAnsi="Calibri"/>
          <w:sz w:val="24"/>
          <w:szCs w:val="24"/>
        </w:rPr>
        <w:t> </w:t>
      </w:r>
      <w:r w:rsidR="00A560C9" w:rsidRPr="009751C1">
        <w:rPr>
          <w:rFonts w:ascii="Calibri" w:hAnsi="Calibri"/>
          <w:sz w:val="24"/>
          <w:szCs w:val="24"/>
        </w:rPr>
        <w:t>skutki ryzyka)</w:t>
      </w:r>
      <w:r w:rsidR="00DD0ADB" w:rsidRPr="009751C1">
        <w:rPr>
          <w:rFonts w:ascii="Calibri" w:hAnsi="Calibri"/>
          <w:sz w:val="24"/>
          <w:szCs w:val="24"/>
        </w:rPr>
        <w:t>, opisanie stosowanych mechanizmów kontrolnych</w:t>
      </w:r>
      <w:r w:rsidR="00760C27" w:rsidRPr="009751C1">
        <w:rPr>
          <w:rFonts w:ascii="Calibri" w:hAnsi="Calibri"/>
          <w:sz w:val="24"/>
          <w:szCs w:val="24"/>
        </w:rPr>
        <w:t>,</w:t>
      </w:r>
      <w:r w:rsidR="00DD0ADB" w:rsidRPr="009751C1">
        <w:rPr>
          <w:rFonts w:ascii="Calibri" w:hAnsi="Calibri"/>
          <w:sz w:val="24"/>
          <w:szCs w:val="24"/>
        </w:rPr>
        <w:t xml:space="preserve"> przedstawienie propozycji usprawnień</w:t>
      </w:r>
      <w:r w:rsidR="00760C27" w:rsidRPr="009751C1">
        <w:rPr>
          <w:rFonts w:ascii="Calibri" w:hAnsi="Calibri"/>
          <w:sz w:val="24"/>
          <w:szCs w:val="24"/>
        </w:rPr>
        <w:t>, a także propozycji oceny ryzyka</w:t>
      </w:r>
      <w:r w:rsidR="00DD0ADB" w:rsidRPr="009751C1">
        <w:rPr>
          <w:rFonts w:ascii="Calibri" w:hAnsi="Calibri"/>
          <w:sz w:val="24"/>
          <w:szCs w:val="24"/>
        </w:rPr>
        <w:t>.</w:t>
      </w:r>
      <w:r w:rsidR="008030B1" w:rsidRPr="009751C1">
        <w:rPr>
          <w:rFonts w:ascii="Calibri" w:hAnsi="Calibri"/>
          <w:sz w:val="24"/>
          <w:szCs w:val="24"/>
        </w:rPr>
        <w:t xml:space="preserve"> Wskazani pracownicy mogą również zgłaszać komitetowi ds. ryzyka zidentyfikowane przez siebie ryzyka</w:t>
      </w:r>
      <w:r w:rsidR="004279CB" w:rsidRPr="009751C1">
        <w:rPr>
          <w:rFonts w:ascii="Calibri" w:hAnsi="Calibri"/>
          <w:sz w:val="24"/>
          <w:szCs w:val="24"/>
        </w:rPr>
        <w:t>,</w:t>
      </w:r>
      <w:r w:rsidR="008030B1" w:rsidRPr="009751C1">
        <w:rPr>
          <w:rFonts w:ascii="Calibri" w:hAnsi="Calibri"/>
          <w:sz w:val="24"/>
          <w:szCs w:val="24"/>
        </w:rPr>
        <w:t xml:space="preserve"> związane z </w:t>
      </w:r>
      <w:r w:rsidR="00AF238C" w:rsidRPr="009751C1">
        <w:rPr>
          <w:rFonts w:ascii="Calibri" w:hAnsi="Calibri"/>
          <w:sz w:val="24"/>
          <w:szCs w:val="24"/>
        </w:rPr>
        <w:t>całokształtem działań podejmowanych przez Uczelni</w:t>
      </w:r>
      <w:r w:rsidR="00760C27" w:rsidRPr="009751C1">
        <w:rPr>
          <w:rFonts w:ascii="Calibri" w:hAnsi="Calibri"/>
          <w:sz w:val="24"/>
          <w:szCs w:val="24"/>
        </w:rPr>
        <w:t>ę</w:t>
      </w:r>
      <w:r w:rsidR="00AF238C" w:rsidRPr="009751C1">
        <w:rPr>
          <w:rFonts w:ascii="Calibri" w:hAnsi="Calibri"/>
          <w:sz w:val="24"/>
          <w:szCs w:val="24"/>
        </w:rPr>
        <w:t>.</w:t>
      </w:r>
      <w:r w:rsidR="00760C27" w:rsidRPr="009751C1">
        <w:rPr>
          <w:rFonts w:ascii="Calibri" w:hAnsi="Calibri"/>
          <w:sz w:val="24"/>
          <w:szCs w:val="24"/>
        </w:rPr>
        <w:t xml:space="preserve"> </w:t>
      </w:r>
    </w:p>
    <w:p w14:paraId="3F935D8F" w14:textId="77777777" w:rsidR="00C3378E" w:rsidRPr="009751C1" w:rsidRDefault="007D1E5B" w:rsidP="00B641CC">
      <w:pPr>
        <w:numPr>
          <w:ilvl w:val="2"/>
          <w:numId w:val="13"/>
        </w:numPr>
        <w:spacing w:before="60" w:line="360" w:lineRule="auto"/>
        <w:ind w:left="680" w:hanging="680"/>
        <w:rPr>
          <w:rFonts w:ascii="Calibri" w:hAnsi="Calibri"/>
          <w:sz w:val="24"/>
          <w:szCs w:val="24"/>
        </w:rPr>
      </w:pPr>
      <w:r w:rsidRPr="009751C1">
        <w:rPr>
          <w:rFonts w:ascii="Calibri" w:hAnsi="Calibri"/>
          <w:b/>
          <w:bCs/>
          <w:sz w:val="24"/>
          <w:szCs w:val="24"/>
        </w:rPr>
        <w:t>Metody</w:t>
      </w:r>
      <w:r w:rsidRPr="009751C1">
        <w:rPr>
          <w:rFonts w:ascii="Calibri" w:hAnsi="Calibri"/>
          <w:sz w:val="24"/>
          <w:szCs w:val="24"/>
        </w:rPr>
        <w:t xml:space="preserve">, które </w:t>
      </w:r>
      <w:r w:rsidR="00071128" w:rsidRPr="009751C1">
        <w:rPr>
          <w:rFonts w:ascii="Calibri" w:hAnsi="Calibri"/>
          <w:sz w:val="24"/>
          <w:szCs w:val="24"/>
        </w:rPr>
        <w:t xml:space="preserve">w szczególności </w:t>
      </w:r>
      <w:r w:rsidRPr="009751C1">
        <w:rPr>
          <w:rFonts w:ascii="Calibri" w:hAnsi="Calibri"/>
          <w:sz w:val="24"/>
          <w:szCs w:val="24"/>
        </w:rPr>
        <w:t>mogą być wykorzystane podczas identyfikacji ryzyka:</w:t>
      </w:r>
    </w:p>
    <w:p w14:paraId="13790BD9" w14:textId="63801510" w:rsidR="007D1E5B" w:rsidRPr="009751C1" w:rsidRDefault="007D1E5B" w:rsidP="008769B9">
      <w:pPr>
        <w:numPr>
          <w:ilvl w:val="3"/>
          <w:numId w:val="17"/>
        </w:numPr>
        <w:spacing w:line="360" w:lineRule="auto"/>
        <w:ind w:left="709" w:hanging="283"/>
        <w:rPr>
          <w:rFonts w:ascii="Calibri" w:hAnsi="Calibri"/>
          <w:sz w:val="24"/>
          <w:szCs w:val="24"/>
        </w:rPr>
      </w:pPr>
      <w:r w:rsidRPr="009751C1">
        <w:rPr>
          <w:rFonts w:ascii="Calibri" w:hAnsi="Calibri"/>
          <w:b/>
          <w:bCs/>
          <w:sz w:val="24"/>
          <w:szCs w:val="24"/>
        </w:rPr>
        <w:t>analiza środowiskowa</w:t>
      </w:r>
      <w:r w:rsidRPr="009751C1">
        <w:rPr>
          <w:rFonts w:ascii="Calibri" w:hAnsi="Calibri"/>
          <w:sz w:val="24"/>
          <w:szCs w:val="24"/>
        </w:rPr>
        <w:t xml:space="preserve">, metoda </w:t>
      </w:r>
      <w:r w:rsidR="00177DFE" w:rsidRPr="009751C1">
        <w:rPr>
          <w:rFonts w:ascii="Calibri" w:hAnsi="Calibri"/>
          <w:sz w:val="24"/>
          <w:szCs w:val="24"/>
        </w:rPr>
        <w:t>umożliwiająca</w:t>
      </w:r>
      <w:r w:rsidRPr="009751C1">
        <w:rPr>
          <w:rFonts w:ascii="Calibri" w:hAnsi="Calibri"/>
          <w:sz w:val="24"/>
          <w:szCs w:val="24"/>
        </w:rPr>
        <w:t xml:space="preserve"> zidentyfikowani</w:t>
      </w:r>
      <w:r w:rsidR="00177DFE" w:rsidRPr="009751C1">
        <w:rPr>
          <w:rFonts w:ascii="Calibri" w:hAnsi="Calibri"/>
          <w:sz w:val="24"/>
          <w:szCs w:val="24"/>
        </w:rPr>
        <w:t>e</w:t>
      </w:r>
      <w:r w:rsidRPr="009751C1">
        <w:rPr>
          <w:rFonts w:ascii="Calibri" w:hAnsi="Calibri"/>
          <w:sz w:val="24"/>
          <w:szCs w:val="24"/>
        </w:rPr>
        <w:t xml:space="preserve"> ryzyk zewnętrznych, </w:t>
      </w:r>
      <w:r w:rsidR="00177DFE" w:rsidRPr="009751C1">
        <w:rPr>
          <w:rFonts w:ascii="Calibri" w:hAnsi="Calibri"/>
          <w:sz w:val="24"/>
          <w:szCs w:val="24"/>
        </w:rPr>
        <w:t>które</w:t>
      </w:r>
      <w:r w:rsidR="008769B9">
        <w:rPr>
          <w:rFonts w:ascii="Calibri" w:hAnsi="Calibri"/>
          <w:sz w:val="24"/>
          <w:szCs w:val="24"/>
        </w:rPr>
        <w:t> </w:t>
      </w:r>
      <w:r w:rsidR="00177DFE" w:rsidRPr="009751C1">
        <w:rPr>
          <w:rFonts w:ascii="Calibri" w:hAnsi="Calibri"/>
          <w:sz w:val="24"/>
          <w:szCs w:val="24"/>
        </w:rPr>
        <w:t xml:space="preserve">mogą wpływać na realizację celów Uczelni, </w:t>
      </w:r>
      <w:r w:rsidRPr="009751C1">
        <w:rPr>
          <w:rFonts w:ascii="Calibri" w:hAnsi="Calibri"/>
          <w:sz w:val="24"/>
          <w:szCs w:val="24"/>
        </w:rPr>
        <w:t>poprzez analizę środowisk w jak</w:t>
      </w:r>
      <w:r w:rsidR="00177DFE" w:rsidRPr="009751C1">
        <w:rPr>
          <w:rFonts w:ascii="Calibri" w:hAnsi="Calibri"/>
          <w:sz w:val="24"/>
          <w:szCs w:val="24"/>
        </w:rPr>
        <w:t>ich</w:t>
      </w:r>
      <w:r w:rsidRPr="009751C1">
        <w:rPr>
          <w:rFonts w:ascii="Calibri" w:hAnsi="Calibri"/>
          <w:sz w:val="24"/>
          <w:szCs w:val="24"/>
        </w:rPr>
        <w:t xml:space="preserve"> </w:t>
      </w:r>
      <w:r w:rsidR="00177DFE" w:rsidRPr="009751C1">
        <w:rPr>
          <w:rFonts w:ascii="Calibri" w:hAnsi="Calibri"/>
          <w:sz w:val="24"/>
          <w:szCs w:val="24"/>
        </w:rPr>
        <w:t xml:space="preserve">Uczelnia </w:t>
      </w:r>
      <w:r w:rsidRPr="009751C1">
        <w:rPr>
          <w:rFonts w:ascii="Calibri" w:hAnsi="Calibri"/>
          <w:sz w:val="24"/>
          <w:szCs w:val="24"/>
        </w:rPr>
        <w:t>funkcjonuje, t</w:t>
      </w:r>
      <w:r w:rsidR="00177DFE" w:rsidRPr="009751C1">
        <w:rPr>
          <w:rFonts w:ascii="Calibri" w:hAnsi="Calibri"/>
          <w:sz w:val="24"/>
          <w:szCs w:val="24"/>
        </w:rPr>
        <w:t xml:space="preserve">akich </w:t>
      </w:r>
      <w:r w:rsidRPr="009751C1">
        <w:rPr>
          <w:rFonts w:ascii="Calibri" w:hAnsi="Calibri"/>
          <w:sz w:val="24"/>
          <w:szCs w:val="24"/>
        </w:rPr>
        <w:t>j</w:t>
      </w:r>
      <w:r w:rsidR="00177DFE" w:rsidRPr="009751C1">
        <w:rPr>
          <w:rFonts w:ascii="Calibri" w:hAnsi="Calibri"/>
          <w:sz w:val="24"/>
          <w:szCs w:val="24"/>
        </w:rPr>
        <w:t>ak</w:t>
      </w:r>
      <w:r w:rsidRPr="009751C1">
        <w:rPr>
          <w:rFonts w:ascii="Calibri" w:hAnsi="Calibri"/>
          <w:sz w:val="24"/>
          <w:szCs w:val="24"/>
        </w:rPr>
        <w:t xml:space="preserve">: </w:t>
      </w:r>
      <w:r w:rsidR="00177DFE" w:rsidRPr="009751C1">
        <w:rPr>
          <w:rFonts w:ascii="Calibri" w:hAnsi="Calibri"/>
          <w:sz w:val="24"/>
          <w:szCs w:val="24"/>
        </w:rPr>
        <w:t>środowisko fizyczne (lokalizacja, obszar, dostęp), środowisko ekonomiczne (finanse, gospodarka, stopy procentowe), regulacje rządowe (prawo, polityka), konkurencja, klienci, dostawy/wykonawcy, technologia</w:t>
      </w:r>
      <w:r w:rsidR="00B92D06" w:rsidRPr="009751C1">
        <w:rPr>
          <w:rFonts w:ascii="Calibri" w:hAnsi="Calibri"/>
          <w:sz w:val="24"/>
          <w:szCs w:val="24"/>
        </w:rPr>
        <w:t>;</w:t>
      </w:r>
    </w:p>
    <w:p w14:paraId="25C82F98" w14:textId="0FBEB9F4" w:rsidR="007D1E5B" w:rsidRPr="009751C1" w:rsidRDefault="007D1E5B" w:rsidP="008769B9">
      <w:pPr>
        <w:numPr>
          <w:ilvl w:val="3"/>
          <w:numId w:val="17"/>
        </w:numPr>
        <w:spacing w:line="360" w:lineRule="auto"/>
        <w:ind w:left="709" w:hanging="283"/>
        <w:rPr>
          <w:rFonts w:ascii="Calibri" w:hAnsi="Calibri"/>
          <w:sz w:val="24"/>
          <w:szCs w:val="24"/>
        </w:rPr>
      </w:pPr>
      <w:r w:rsidRPr="009751C1">
        <w:rPr>
          <w:rFonts w:ascii="Calibri" w:hAnsi="Calibri"/>
          <w:b/>
          <w:bCs/>
          <w:sz w:val="24"/>
          <w:szCs w:val="24"/>
        </w:rPr>
        <w:lastRenderedPageBreak/>
        <w:t>analiza zagrożeń</w:t>
      </w:r>
      <w:r w:rsidRPr="009751C1">
        <w:rPr>
          <w:rFonts w:ascii="Calibri" w:hAnsi="Calibri"/>
          <w:sz w:val="24"/>
          <w:szCs w:val="24"/>
        </w:rPr>
        <w:t>,</w:t>
      </w:r>
      <w:r w:rsidR="00177DFE" w:rsidRPr="009751C1">
        <w:rPr>
          <w:rFonts w:ascii="Calibri" w:hAnsi="Calibri"/>
          <w:sz w:val="24"/>
          <w:szCs w:val="24"/>
        </w:rPr>
        <w:t xml:space="preserve"> </w:t>
      </w:r>
      <w:r w:rsidR="00776984" w:rsidRPr="009751C1">
        <w:rPr>
          <w:rFonts w:ascii="Calibri" w:hAnsi="Calibri"/>
          <w:sz w:val="24"/>
          <w:szCs w:val="24"/>
        </w:rPr>
        <w:t>metoda umożliwiająca identyfikację ryzyk na jakie narażone są zasoby Uczelni, takie jak: środki trwałe, aktywa finansowe, zasoby ludzkie, wartości niematerialne i</w:t>
      </w:r>
      <w:r w:rsidR="008769B9">
        <w:rPr>
          <w:rFonts w:ascii="Calibri" w:hAnsi="Calibri"/>
          <w:sz w:val="24"/>
          <w:szCs w:val="24"/>
        </w:rPr>
        <w:t> </w:t>
      </w:r>
      <w:r w:rsidR="00776984" w:rsidRPr="009751C1">
        <w:rPr>
          <w:rFonts w:ascii="Calibri" w:hAnsi="Calibri"/>
          <w:sz w:val="24"/>
          <w:szCs w:val="24"/>
        </w:rPr>
        <w:t>prawne</w:t>
      </w:r>
      <w:r w:rsidR="005859CA" w:rsidRPr="009751C1">
        <w:rPr>
          <w:rFonts w:ascii="Calibri" w:hAnsi="Calibri"/>
          <w:sz w:val="24"/>
          <w:szCs w:val="24"/>
        </w:rPr>
        <w:t>;</w:t>
      </w:r>
    </w:p>
    <w:p w14:paraId="0BD690B2" w14:textId="7CEAB682" w:rsidR="007D1E5B" w:rsidRPr="009751C1" w:rsidRDefault="007D1E5B" w:rsidP="008769B9">
      <w:pPr>
        <w:numPr>
          <w:ilvl w:val="3"/>
          <w:numId w:val="17"/>
        </w:numPr>
        <w:spacing w:line="360" w:lineRule="auto"/>
        <w:ind w:left="709" w:hanging="283"/>
        <w:rPr>
          <w:rFonts w:ascii="Calibri" w:hAnsi="Calibri"/>
          <w:sz w:val="24"/>
          <w:szCs w:val="24"/>
        </w:rPr>
      </w:pPr>
      <w:r w:rsidRPr="009751C1">
        <w:rPr>
          <w:rFonts w:ascii="Calibri" w:hAnsi="Calibri"/>
          <w:b/>
          <w:bCs/>
          <w:sz w:val="24"/>
          <w:szCs w:val="24"/>
        </w:rPr>
        <w:t>scenariusze zagrożeń</w:t>
      </w:r>
      <w:r w:rsidR="00F91301" w:rsidRPr="009751C1">
        <w:rPr>
          <w:rFonts w:ascii="Calibri" w:hAnsi="Calibri"/>
          <w:sz w:val="24"/>
          <w:szCs w:val="24"/>
        </w:rPr>
        <w:t xml:space="preserve">, </w:t>
      </w:r>
      <w:r w:rsidR="007E0C74" w:rsidRPr="009751C1">
        <w:rPr>
          <w:rFonts w:ascii="Calibri" w:hAnsi="Calibri"/>
          <w:sz w:val="24"/>
          <w:szCs w:val="24"/>
        </w:rPr>
        <w:t>specjalistyczna metoda identyfikacji ryzyka oszustwa i/lub</w:t>
      </w:r>
      <w:r w:rsidR="008769B9">
        <w:rPr>
          <w:rFonts w:ascii="Calibri" w:hAnsi="Calibri"/>
          <w:sz w:val="24"/>
          <w:szCs w:val="24"/>
        </w:rPr>
        <w:t> </w:t>
      </w:r>
      <w:r w:rsidR="007E0C74" w:rsidRPr="009751C1">
        <w:rPr>
          <w:rFonts w:ascii="Calibri" w:hAnsi="Calibri"/>
          <w:sz w:val="24"/>
          <w:szCs w:val="24"/>
        </w:rPr>
        <w:t>zagrożenia, katastrofy, nieszczęścia.</w:t>
      </w:r>
      <w:r w:rsidRPr="009751C1">
        <w:rPr>
          <w:rFonts w:ascii="Calibri" w:hAnsi="Calibri"/>
          <w:sz w:val="24"/>
          <w:szCs w:val="24"/>
        </w:rPr>
        <w:t xml:space="preserve"> </w:t>
      </w:r>
    </w:p>
    <w:p w14:paraId="4179B22A" w14:textId="77777777" w:rsidR="00B302D0" w:rsidRPr="009751C1" w:rsidRDefault="00B302D0" w:rsidP="008769B9">
      <w:pPr>
        <w:pStyle w:val="podrozdzia"/>
      </w:pPr>
      <w:r w:rsidRPr="009751C1">
        <w:t xml:space="preserve">Ocena ryzyka </w:t>
      </w:r>
    </w:p>
    <w:p w14:paraId="74B4C341" w14:textId="77777777" w:rsidR="003D3C29" w:rsidRPr="009751C1" w:rsidRDefault="002E3355" w:rsidP="00B641CC">
      <w:pPr>
        <w:numPr>
          <w:ilvl w:val="2"/>
          <w:numId w:val="13"/>
        </w:numPr>
        <w:spacing w:before="60" w:line="360" w:lineRule="auto"/>
        <w:ind w:left="680" w:hanging="680"/>
        <w:rPr>
          <w:rFonts w:ascii="Calibri" w:hAnsi="Calibri"/>
          <w:sz w:val="24"/>
          <w:szCs w:val="24"/>
        </w:rPr>
      </w:pPr>
      <w:r w:rsidRPr="009751C1">
        <w:rPr>
          <w:rFonts w:ascii="Calibri" w:hAnsi="Calibri"/>
          <w:sz w:val="24"/>
          <w:szCs w:val="24"/>
        </w:rPr>
        <w:t xml:space="preserve">Zidentyfikowane ryzyka </w:t>
      </w:r>
      <w:r w:rsidR="00A560C9" w:rsidRPr="009751C1">
        <w:rPr>
          <w:rFonts w:ascii="Calibri" w:hAnsi="Calibri"/>
          <w:sz w:val="24"/>
          <w:szCs w:val="24"/>
        </w:rPr>
        <w:t xml:space="preserve">(rezydualne) </w:t>
      </w:r>
      <w:r w:rsidRPr="009751C1">
        <w:rPr>
          <w:rFonts w:ascii="Calibri" w:hAnsi="Calibri"/>
          <w:sz w:val="24"/>
          <w:szCs w:val="24"/>
        </w:rPr>
        <w:t>powinny zostać ocenione. Jako metodę oceny ryzyka w U</w:t>
      </w:r>
      <w:r w:rsidR="003D3C29" w:rsidRPr="009751C1">
        <w:rPr>
          <w:rFonts w:ascii="Calibri" w:hAnsi="Calibri"/>
          <w:sz w:val="24"/>
          <w:szCs w:val="24"/>
        </w:rPr>
        <w:t xml:space="preserve">czelni stosuje się </w:t>
      </w:r>
      <w:r w:rsidR="00140744" w:rsidRPr="009751C1">
        <w:rPr>
          <w:rFonts w:ascii="Calibri" w:hAnsi="Calibri"/>
          <w:b/>
          <w:sz w:val="24"/>
          <w:szCs w:val="24"/>
        </w:rPr>
        <w:t>p</w:t>
      </w:r>
      <w:r w:rsidR="003D3C29" w:rsidRPr="009751C1">
        <w:rPr>
          <w:rFonts w:ascii="Calibri" w:hAnsi="Calibri"/>
          <w:b/>
          <w:sz w:val="24"/>
          <w:szCs w:val="24"/>
        </w:rPr>
        <w:t>unktową ocenę ryzyka</w:t>
      </w:r>
      <w:r w:rsidR="00291815" w:rsidRPr="009751C1">
        <w:rPr>
          <w:rFonts w:ascii="Calibri" w:hAnsi="Calibri"/>
          <w:sz w:val="24"/>
          <w:szCs w:val="24"/>
        </w:rPr>
        <w:t>.</w:t>
      </w:r>
    </w:p>
    <w:p w14:paraId="55B39830" w14:textId="77777777" w:rsidR="00760C27" w:rsidRPr="009751C1" w:rsidRDefault="00760C27" w:rsidP="00B641CC">
      <w:pPr>
        <w:numPr>
          <w:ilvl w:val="2"/>
          <w:numId w:val="13"/>
        </w:numPr>
        <w:spacing w:before="60" w:line="360" w:lineRule="auto"/>
        <w:ind w:left="680" w:hanging="680"/>
        <w:rPr>
          <w:rFonts w:ascii="Calibri" w:hAnsi="Calibri"/>
          <w:sz w:val="24"/>
          <w:szCs w:val="24"/>
        </w:rPr>
      </w:pPr>
      <w:r w:rsidRPr="009751C1">
        <w:rPr>
          <w:rFonts w:ascii="Calibri" w:hAnsi="Calibri"/>
          <w:sz w:val="24"/>
          <w:szCs w:val="24"/>
        </w:rPr>
        <w:t>Ocenę ryzyka przeprowadza komitet ds. ryzyka.</w:t>
      </w:r>
    </w:p>
    <w:p w14:paraId="65E241C7" w14:textId="77777777" w:rsidR="00AB7FF9" w:rsidRPr="009751C1" w:rsidRDefault="00DD0ADB" w:rsidP="00B641CC">
      <w:pPr>
        <w:numPr>
          <w:ilvl w:val="2"/>
          <w:numId w:val="13"/>
        </w:numPr>
        <w:spacing w:before="60" w:line="360" w:lineRule="auto"/>
        <w:ind w:left="680" w:hanging="680"/>
        <w:rPr>
          <w:rFonts w:ascii="Calibri" w:hAnsi="Calibri"/>
          <w:sz w:val="24"/>
          <w:szCs w:val="24"/>
        </w:rPr>
      </w:pPr>
      <w:r w:rsidRPr="009751C1">
        <w:rPr>
          <w:rFonts w:ascii="Calibri" w:hAnsi="Calibri"/>
          <w:sz w:val="24"/>
          <w:szCs w:val="24"/>
        </w:rPr>
        <w:t>Podczas oceny ryzyka</w:t>
      </w:r>
      <w:r w:rsidR="00AD2C95" w:rsidRPr="009751C1">
        <w:rPr>
          <w:rFonts w:ascii="Calibri" w:hAnsi="Calibri"/>
          <w:sz w:val="24"/>
          <w:szCs w:val="24"/>
        </w:rPr>
        <w:t xml:space="preserve"> mającego wpływ na </w:t>
      </w:r>
      <w:r w:rsidR="00B904B0" w:rsidRPr="009751C1">
        <w:rPr>
          <w:rFonts w:ascii="Calibri" w:hAnsi="Calibri"/>
          <w:sz w:val="24"/>
          <w:szCs w:val="24"/>
        </w:rPr>
        <w:t>realizację</w:t>
      </w:r>
      <w:r w:rsidR="00AD2C95" w:rsidRPr="009751C1">
        <w:rPr>
          <w:rFonts w:ascii="Calibri" w:hAnsi="Calibri"/>
          <w:sz w:val="24"/>
          <w:szCs w:val="24"/>
        </w:rPr>
        <w:t xml:space="preserve"> celów</w:t>
      </w:r>
      <w:r w:rsidR="00291815" w:rsidRPr="009751C1">
        <w:rPr>
          <w:rFonts w:ascii="Calibri" w:hAnsi="Calibri"/>
          <w:sz w:val="24"/>
          <w:szCs w:val="24"/>
        </w:rPr>
        <w:t xml:space="preserve"> i zadań Uczelni</w:t>
      </w:r>
      <w:r w:rsidR="00AD2C95" w:rsidRPr="009751C1">
        <w:rPr>
          <w:rFonts w:ascii="Calibri" w:hAnsi="Calibri"/>
          <w:sz w:val="24"/>
          <w:szCs w:val="24"/>
        </w:rPr>
        <w:t>,</w:t>
      </w:r>
      <w:r w:rsidRPr="009751C1">
        <w:rPr>
          <w:rFonts w:ascii="Calibri" w:hAnsi="Calibri"/>
          <w:sz w:val="24"/>
          <w:szCs w:val="24"/>
        </w:rPr>
        <w:t xml:space="preserve"> </w:t>
      </w:r>
      <w:r w:rsidR="00AB7FF9" w:rsidRPr="009751C1">
        <w:rPr>
          <w:rFonts w:ascii="Calibri" w:hAnsi="Calibri"/>
          <w:sz w:val="24"/>
          <w:szCs w:val="24"/>
        </w:rPr>
        <w:t>uwzględniane jest zarówno prawdopodobieństwo jego wystąpienia</w:t>
      </w:r>
      <w:r w:rsidR="00AD2C95" w:rsidRPr="009751C1">
        <w:rPr>
          <w:rFonts w:ascii="Calibri" w:hAnsi="Calibri"/>
          <w:sz w:val="24"/>
          <w:szCs w:val="24"/>
        </w:rPr>
        <w:t>, jak i jego skutek</w:t>
      </w:r>
      <w:r w:rsidR="00AB7FF9" w:rsidRPr="009751C1">
        <w:rPr>
          <w:rFonts w:ascii="Calibri" w:hAnsi="Calibri"/>
          <w:sz w:val="24"/>
          <w:szCs w:val="24"/>
        </w:rPr>
        <w:t>.</w:t>
      </w:r>
    </w:p>
    <w:p w14:paraId="34024F0D" w14:textId="77777777" w:rsidR="00291815" w:rsidRPr="009751C1" w:rsidRDefault="00291815" w:rsidP="00B641CC">
      <w:pPr>
        <w:numPr>
          <w:ilvl w:val="2"/>
          <w:numId w:val="13"/>
        </w:numPr>
        <w:spacing w:before="60" w:line="360" w:lineRule="auto"/>
        <w:ind w:left="680" w:hanging="680"/>
        <w:rPr>
          <w:rFonts w:ascii="Calibri" w:hAnsi="Calibri"/>
          <w:sz w:val="24"/>
          <w:szCs w:val="24"/>
        </w:rPr>
      </w:pPr>
      <w:r w:rsidRPr="009751C1">
        <w:rPr>
          <w:rFonts w:ascii="Calibri" w:hAnsi="Calibri"/>
          <w:sz w:val="24"/>
          <w:szCs w:val="24"/>
        </w:rPr>
        <w:t xml:space="preserve">Wzory dokumentów stosowanych w procesie zarządzania ryzykiem określa </w:t>
      </w:r>
      <w:r w:rsidR="00760C27" w:rsidRPr="009751C1">
        <w:rPr>
          <w:rFonts w:ascii="Calibri" w:hAnsi="Calibri"/>
          <w:sz w:val="24"/>
          <w:szCs w:val="24"/>
        </w:rPr>
        <w:t>P</w:t>
      </w:r>
      <w:r w:rsidRPr="009751C1">
        <w:rPr>
          <w:rFonts w:ascii="Calibri" w:hAnsi="Calibri"/>
          <w:sz w:val="24"/>
          <w:szCs w:val="24"/>
        </w:rPr>
        <w:t>rocedura zarządzania ryzykiem.</w:t>
      </w:r>
    </w:p>
    <w:p w14:paraId="579F84CE" w14:textId="77777777" w:rsidR="00291815" w:rsidRPr="009751C1" w:rsidRDefault="00291815" w:rsidP="00B641CC">
      <w:pPr>
        <w:numPr>
          <w:ilvl w:val="2"/>
          <w:numId w:val="13"/>
        </w:numPr>
        <w:spacing w:before="60" w:line="360" w:lineRule="auto"/>
        <w:ind w:left="680" w:hanging="680"/>
        <w:rPr>
          <w:rFonts w:ascii="Calibri" w:hAnsi="Calibri"/>
          <w:sz w:val="24"/>
          <w:szCs w:val="24"/>
        </w:rPr>
      </w:pPr>
      <w:r w:rsidRPr="009751C1">
        <w:rPr>
          <w:rFonts w:ascii="Calibri" w:hAnsi="Calibri"/>
          <w:sz w:val="24"/>
          <w:szCs w:val="24"/>
        </w:rPr>
        <w:t xml:space="preserve">Rektor określa poziomy akceptowalnego ryzyka (apetyt na ryzyko) dla różnych rodzajów działalności Uczelni i dla różnych poziomów kierownictwa w wewnętrznych aktach prawnych </w:t>
      </w:r>
      <w:r w:rsidR="00B92D06" w:rsidRPr="009751C1">
        <w:rPr>
          <w:rFonts w:ascii="Calibri" w:hAnsi="Calibri"/>
          <w:sz w:val="24"/>
          <w:szCs w:val="24"/>
        </w:rPr>
        <w:t>U</w:t>
      </w:r>
      <w:r w:rsidRPr="009751C1">
        <w:rPr>
          <w:rFonts w:ascii="Calibri" w:hAnsi="Calibri"/>
          <w:sz w:val="24"/>
          <w:szCs w:val="24"/>
        </w:rPr>
        <w:t>czelni, decyzjach albo w imiennych pełnomocnictwach i upoważnieniach.</w:t>
      </w:r>
    </w:p>
    <w:p w14:paraId="1DB6BFEF" w14:textId="77777777" w:rsidR="00291815" w:rsidRPr="009751C1" w:rsidRDefault="00291815" w:rsidP="00B641CC">
      <w:pPr>
        <w:numPr>
          <w:ilvl w:val="2"/>
          <w:numId w:val="13"/>
        </w:numPr>
        <w:spacing w:before="60" w:line="360" w:lineRule="auto"/>
        <w:ind w:left="680" w:hanging="680"/>
        <w:rPr>
          <w:rFonts w:ascii="Calibri" w:hAnsi="Calibri"/>
          <w:sz w:val="24"/>
          <w:szCs w:val="24"/>
        </w:rPr>
      </w:pPr>
      <w:r w:rsidRPr="009751C1">
        <w:rPr>
          <w:rFonts w:ascii="Calibri" w:hAnsi="Calibri"/>
          <w:sz w:val="24"/>
          <w:szCs w:val="24"/>
        </w:rPr>
        <w:t xml:space="preserve">Właścicielem ryzyka jest </w:t>
      </w:r>
      <w:r w:rsidR="00B92D06" w:rsidRPr="009751C1">
        <w:rPr>
          <w:rFonts w:ascii="Calibri" w:hAnsi="Calibri"/>
          <w:sz w:val="24"/>
          <w:szCs w:val="24"/>
        </w:rPr>
        <w:t>R</w:t>
      </w:r>
      <w:r w:rsidRPr="009751C1">
        <w:rPr>
          <w:rFonts w:ascii="Calibri" w:hAnsi="Calibri"/>
          <w:sz w:val="24"/>
          <w:szCs w:val="24"/>
        </w:rPr>
        <w:t xml:space="preserve">ektor lub kierownik wyższego szczebla. </w:t>
      </w:r>
    </w:p>
    <w:p w14:paraId="06EDF949" w14:textId="77777777" w:rsidR="00291815" w:rsidRPr="009751C1" w:rsidRDefault="00291815" w:rsidP="00B641CC">
      <w:pPr>
        <w:numPr>
          <w:ilvl w:val="2"/>
          <w:numId w:val="13"/>
        </w:numPr>
        <w:spacing w:before="60" w:line="360" w:lineRule="auto"/>
        <w:ind w:left="680" w:hanging="680"/>
        <w:rPr>
          <w:rFonts w:ascii="Calibri" w:hAnsi="Calibri"/>
          <w:sz w:val="24"/>
          <w:szCs w:val="24"/>
        </w:rPr>
      </w:pPr>
      <w:r w:rsidRPr="009751C1">
        <w:rPr>
          <w:rFonts w:ascii="Calibri" w:hAnsi="Calibri"/>
          <w:sz w:val="24"/>
          <w:szCs w:val="24"/>
        </w:rPr>
        <w:t xml:space="preserve">Rektor określa właściciela ryzyka wspólnego, występującego w różnych rodzajach działalności lub ryzyka wspólnego dla różnych jednostek organizacyjnych Uczelni. </w:t>
      </w:r>
    </w:p>
    <w:p w14:paraId="7281279B" w14:textId="58497E84" w:rsidR="00291815" w:rsidRPr="009751C1" w:rsidRDefault="00291815" w:rsidP="00B641CC">
      <w:pPr>
        <w:numPr>
          <w:ilvl w:val="2"/>
          <w:numId w:val="13"/>
        </w:numPr>
        <w:spacing w:before="60" w:line="360" w:lineRule="auto"/>
        <w:ind w:left="680" w:hanging="680"/>
        <w:rPr>
          <w:rFonts w:ascii="Calibri" w:hAnsi="Calibri"/>
          <w:sz w:val="24"/>
          <w:szCs w:val="24"/>
        </w:rPr>
      </w:pPr>
      <w:r w:rsidRPr="009751C1">
        <w:rPr>
          <w:rFonts w:ascii="Calibri" w:hAnsi="Calibri"/>
          <w:sz w:val="24"/>
          <w:szCs w:val="24"/>
        </w:rPr>
        <w:t xml:space="preserve">Przeprowadzona ocena ryzyka </w:t>
      </w:r>
      <w:r w:rsidR="00844FBE" w:rsidRPr="009751C1">
        <w:rPr>
          <w:rFonts w:ascii="Calibri" w:hAnsi="Calibri"/>
          <w:sz w:val="24"/>
          <w:szCs w:val="24"/>
        </w:rPr>
        <w:t>jest</w:t>
      </w:r>
      <w:r w:rsidRPr="009751C1">
        <w:rPr>
          <w:rFonts w:ascii="Calibri" w:hAnsi="Calibri"/>
          <w:sz w:val="24"/>
          <w:szCs w:val="24"/>
        </w:rPr>
        <w:t xml:space="preserve"> podstaw</w:t>
      </w:r>
      <w:r w:rsidR="00844FBE" w:rsidRPr="009751C1">
        <w:rPr>
          <w:rFonts w:ascii="Calibri" w:hAnsi="Calibri"/>
          <w:sz w:val="24"/>
          <w:szCs w:val="24"/>
        </w:rPr>
        <w:t>ą</w:t>
      </w:r>
      <w:r w:rsidRPr="009751C1">
        <w:rPr>
          <w:rFonts w:ascii="Calibri" w:hAnsi="Calibri"/>
          <w:sz w:val="24"/>
          <w:szCs w:val="24"/>
        </w:rPr>
        <w:t xml:space="preserve"> do sporządzenia rejestru ryzyka. Zakres</w:t>
      </w:r>
      <w:r w:rsidR="002819CD">
        <w:rPr>
          <w:rFonts w:ascii="Calibri" w:hAnsi="Calibri"/>
          <w:sz w:val="24"/>
          <w:szCs w:val="24"/>
        </w:rPr>
        <w:t> </w:t>
      </w:r>
      <w:r w:rsidRPr="009751C1">
        <w:rPr>
          <w:rFonts w:ascii="Calibri" w:hAnsi="Calibri"/>
          <w:sz w:val="24"/>
          <w:szCs w:val="24"/>
        </w:rPr>
        <w:t xml:space="preserve">informacji ujmowanych w rejestrze ryzyka określa Procedura zarządzania ryzykiem. </w:t>
      </w:r>
    </w:p>
    <w:p w14:paraId="5FD94717" w14:textId="77777777" w:rsidR="00291815" w:rsidRPr="009751C1" w:rsidRDefault="00291815" w:rsidP="008769B9">
      <w:pPr>
        <w:pStyle w:val="podrozdzia"/>
      </w:pPr>
      <w:r w:rsidRPr="009751C1">
        <w:t xml:space="preserve">Odpowiedź na ryzyko </w:t>
      </w:r>
    </w:p>
    <w:p w14:paraId="2D8918D8" w14:textId="77777777" w:rsidR="00291815" w:rsidRPr="009751C1" w:rsidRDefault="00291815" w:rsidP="00B641CC">
      <w:pPr>
        <w:numPr>
          <w:ilvl w:val="2"/>
          <w:numId w:val="13"/>
        </w:numPr>
        <w:spacing w:before="60" w:line="360" w:lineRule="auto"/>
        <w:ind w:left="680" w:hanging="680"/>
        <w:rPr>
          <w:rFonts w:ascii="Calibri" w:hAnsi="Calibri"/>
          <w:sz w:val="24"/>
          <w:szCs w:val="24"/>
        </w:rPr>
      </w:pPr>
      <w:r w:rsidRPr="009751C1">
        <w:rPr>
          <w:rFonts w:ascii="Calibri" w:hAnsi="Calibri"/>
          <w:sz w:val="24"/>
          <w:szCs w:val="24"/>
        </w:rPr>
        <w:t>Decyzje w sprawie odpowiedzi na ryzyko podejmują, w zależności od rodzaju ryzyka i</w:t>
      </w:r>
      <w:r w:rsidR="00A235D5" w:rsidRPr="009751C1">
        <w:rPr>
          <w:rFonts w:ascii="Calibri" w:hAnsi="Calibri"/>
          <w:sz w:val="24"/>
          <w:szCs w:val="24"/>
        </w:rPr>
        <w:t> </w:t>
      </w:r>
      <w:r w:rsidRPr="009751C1">
        <w:rPr>
          <w:rFonts w:ascii="Calibri" w:hAnsi="Calibri"/>
          <w:sz w:val="24"/>
          <w:szCs w:val="24"/>
        </w:rPr>
        <w:t>zakresu udzielonych upoważnień i pełnomocnictw:</w:t>
      </w:r>
    </w:p>
    <w:p w14:paraId="7F8AE7FD" w14:textId="77777777" w:rsidR="00291815" w:rsidRPr="009751C1" w:rsidRDefault="003C71AC" w:rsidP="00B641CC">
      <w:pPr>
        <w:numPr>
          <w:ilvl w:val="3"/>
          <w:numId w:val="13"/>
        </w:numPr>
        <w:spacing w:line="360" w:lineRule="auto"/>
        <w:ind w:left="1020" w:hanging="340"/>
        <w:rPr>
          <w:rFonts w:ascii="Calibri" w:hAnsi="Calibri"/>
          <w:sz w:val="24"/>
          <w:szCs w:val="24"/>
        </w:rPr>
      </w:pPr>
      <w:r w:rsidRPr="009751C1">
        <w:rPr>
          <w:rFonts w:ascii="Calibri" w:hAnsi="Calibri"/>
          <w:sz w:val="24"/>
          <w:szCs w:val="24"/>
        </w:rPr>
        <w:t>R</w:t>
      </w:r>
      <w:r w:rsidR="00291815" w:rsidRPr="009751C1">
        <w:rPr>
          <w:rFonts w:ascii="Calibri" w:hAnsi="Calibri"/>
          <w:sz w:val="24"/>
          <w:szCs w:val="24"/>
        </w:rPr>
        <w:t xml:space="preserve">ektor, </w:t>
      </w:r>
    </w:p>
    <w:p w14:paraId="0EF2C6BB" w14:textId="77777777" w:rsidR="00291815" w:rsidRPr="009751C1" w:rsidRDefault="00291815" w:rsidP="00B641CC">
      <w:pPr>
        <w:numPr>
          <w:ilvl w:val="3"/>
          <w:numId w:val="13"/>
        </w:numPr>
        <w:spacing w:line="360" w:lineRule="auto"/>
        <w:ind w:left="1020" w:hanging="340"/>
        <w:rPr>
          <w:rFonts w:ascii="Calibri" w:hAnsi="Calibri"/>
          <w:sz w:val="24"/>
          <w:szCs w:val="24"/>
        </w:rPr>
      </w:pPr>
      <w:r w:rsidRPr="009751C1">
        <w:rPr>
          <w:rFonts w:ascii="Calibri" w:hAnsi="Calibri"/>
          <w:sz w:val="24"/>
          <w:szCs w:val="24"/>
        </w:rPr>
        <w:t>kierownicy wyższego szczebla.</w:t>
      </w:r>
    </w:p>
    <w:p w14:paraId="12BEA41E" w14:textId="37AFB67E" w:rsidR="001C6325" w:rsidRPr="009751C1" w:rsidRDefault="001C6325" w:rsidP="00B641CC">
      <w:pPr>
        <w:keepLines/>
        <w:numPr>
          <w:ilvl w:val="2"/>
          <w:numId w:val="13"/>
        </w:numPr>
        <w:spacing w:before="60" w:line="360" w:lineRule="auto"/>
        <w:ind w:left="680" w:hanging="680"/>
        <w:rPr>
          <w:rFonts w:ascii="Calibri" w:hAnsi="Calibri"/>
          <w:sz w:val="24"/>
          <w:szCs w:val="24"/>
        </w:rPr>
      </w:pPr>
      <w:r w:rsidRPr="009751C1">
        <w:rPr>
          <w:rFonts w:ascii="Calibri" w:hAnsi="Calibri"/>
          <w:sz w:val="24"/>
          <w:szCs w:val="24"/>
        </w:rPr>
        <w:t>Podstawą decyzji w sprawie ewentualnych działań, które należy podjąć w celu ograniczenia ryzyka (odpowiedzi na ryzyko)</w:t>
      </w:r>
      <w:r w:rsidR="003210C8" w:rsidRPr="009751C1">
        <w:rPr>
          <w:rFonts w:ascii="Calibri" w:hAnsi="Calibri"/>
          <w:sz w:val="24"/>
          <w:szCs w:val="24"/>
        </w:rPr>
        <w:t>,</w:t>
      </w:r>
      <w:r w:rsidRPr="009751C1">
        <w:rPr>
          <w:rFonts w:ascii="Calibri" w:hAnsi="Calibri"/>
          <w:sz w:val="24"/>
          <w:szCs w:val="24"/>
        </w:rPr>
        <w:t xml:space="preserve"> jest porównanie oceny ryzyka z apetytem na ryzyko oraz</w:t>
      </w:r>
      <w:r w:rsidR="002819CD">
        <w:rPr>
          <w:rFonts w:ascii="Calibri" w:hAnsi="Calibri"/>
          <w:sz w:val="24"/>
          <w:szCs w:val="24"/>
        </w:rPr>
        <w:t> </w:t>
      </w:r>
      <w:r w:rsidRPr="009751C1">
        <w:rPr>
          <w:rFonts w:ascii="Calibri" w:hAnsi="Calibri"/>
          <w:sz w:val="24"/>
          <w:szCs w:val="24"/>
        </w:rPr>
        <w:t>porównanie kosztów wdrożenia środków służących ograniczeniu ryzyka ze</w:t>
      </w:r>
      <w:r w:rsidR="002819CD">
        <w:rPr>
          <w:rFonts w:ascii="Calibri" w:hAnsi="Calibri"/>
          <w:sz w:val="24"/>
          <w:szCs w:val="24"/>
        </w:rPr>
        <w:t> </w:t>
      </w:r>
      <w:r w:rsidRPr="009751C1">
        <w:rPr>
          <w:rFonts w:ascii="Calibri" w:hAnsi="Calibri"/>
          <w:sz w:val="24"/>
          <w:szCs w:val="24"/>
        </w:rPr>
        <w:t xml:space="preserve">spodziewanymi korzyściami z jego zmniejszenia. </w:t>
      </w:r>
    </w:p>
    <w:p w14:paraId="36AABE82" w14:textId="77777777" w:rsidR="00291815" w:rsidRPr="009751C1" w:rsidRDefault="00291815" w:rsidP="00B641CC">
      <w:pPr>
        <w:keepNext/>
        <w:numPr>
          <w:ilvl w:val="2"/>
          <w:numId w:val="13"/>
        </w:numPr>
        <w:spacing w:before="60" w:line="360" w:lineRule="auto"/>
        <w:ind w:left="680" w:hanging="680"/>
        <w:rPr>
          <w:rFonts w:ascii="Calibri" w:hAnsi="Calibri"/>
          <w:sz w:val="24"/>
          <w:szCs w:val="24"/>
        </w:rPr>
      </w:pPr>
      <w:r w:rsidRPr="009751C1">
        <w:rPr>
          <w:rFonts w:ascii="Calibri" w:hAnsi="Calibri"/>
          <w:sz w:val="24"/>
          <w:szCs w:val="24"/>
        </w:rPr>
        <w:lastRenderedPageBreak/>
        <w:t>Działania podejmowane w stosunku do ryzyka mogą polegać na:</w:t>
      </w:r>
    </w:p>
    <w:p w14:paraId="4F5B5020" w14:textId="77777777" w:rsidR="00291815" w:rsidRPr="009751C1" w:rsidRDefault="00291815" w:rsidP="00B641CC">
      <w:pPr>
        <w:keepNext/>
        <w:numPr>
          <w:ilvl w:val="3"/>
          <w:numId w:val="15"/>
        </w:numPr>
        <w:spacing w:line="360" w:lineRule="auto"/>
        <w:ind w:left="1020" w:hanging="340"/>
        <w:rPr>
          <w:rFonts w:ascii="Calibri" w:hAnsi="Calibri"/>
          <w:sz w:val="24"/>
          <w:szCs w:val="24"/>
        </w:rPr>
      </w:pPr>
      <w:r w:rsidRPr="009751C1">
        <w:rPr>
          <w:rFonts w:ascii="Calibri" w:hAnsi="Calibri"/>
          <w:sz w:val="24"/>
          <w:szCs w:val="24"/>
        </w:rPr>
        <w:t>zakończeniu działalności obarczonej zbyt dużym ryzykiem,</w:t>
      </w:r>
    </w:p>
    <w:p w14:paraId="7D1DBFBA" w14:textId="77777777" w:rsidR="00291815" w:rsidRPr="009751C1" w:rsidRDefault="00291815" w:rsidP="00B641CC">
      <w:pPr>
        <w:numPr>
          <w:ilvl w:val="3"/>
          <w:numId w:val="15"/>
        </w:numPr>
        <w:spacing w:line="360" w:lineRule="auto"/>
        <w:ind w:left="1020" w:hanging="340"/>
        <w:rPr>
          <w:rFonts w:ascii="Calibri" w:hAnsi="Calibri"/>
          <w:sz w:val="24"/>
          <w:szCs w:val="24"/>
        </w:rPr>
      </w:pPr>
      <w:r w:rsidRPr="009751C1">
        <w:rPr>
          <w:rFonts w:ascii="Calibri" w:hAnsi="Calibri"/>
          <w:sz w:val="24"/>
          <w:szCs w:val="24"/>
        </w:rPr>
        <w:t>przeniesieniu ryzyka/transferze ryzyka (np. ubezpieczenie, przekazanie określonych zadań jednostce/firmie zewnętrznej),</w:t>
      </w:r>
    </w:p>
    <w:p w14:paraId="7951362E" w14:textId="77777777" w:rsidR="00291815" w:rsidRPr="009751C1" w:rsidRDefault="00291815" w:rsidP="00B641CC">
      <w:pPr>
        <w:numPr>
          <w:ilvl w:val="3"/>
          <w:numId w:val="15"/>
        </w:numPr>
        <w:spacing w:line="360" w:lineRule="auto"/>
        <w:ind w:left="1020" w:hanging="340"/>
        <w:rPr>
          <w:rFonts w:ascii="Calibri" w:hAnsi="Calibri"/>
          <w:sz w:val="24"/>
          <w:szCs w:val="24"/>
        </w:rPr>
      </w:pPr>
      <w:r w:rsidRPr="009751C1">
        <w:rPr>
          <w:rFonts w:ascii="Calibri" w:hAnsi="Calibri"/>
          <w:sz w:val="24"/>
          <w:szCs w:val="24"/>
        </w:rPr>
        <w:t xml:space="preserve">zmniejszeniu ryzyka/redukcji ryzyka do akceptowalnego poziomu (np. poprzez ustalenie </w:t>
      </w:r>
      <w:r w:rsidR="00760C27" w:rsidRPr="009751C1">
        <w:rPr>
          <w:rFonts w:ascii="Calibri" w:hAnsi="Calibri"/>
          <w:sz w:val="24"/>
          <w:szCs w:val="24"/>
        </w:rPr>
        <w:t>regulaminów/</w:t>
      </w:r>
      <w:r w:rsidRPr="009751C1">
        <w:rPr>
          <w:rFonts w:ascii="Calibri" w:hAnsi="Calibri"/>
          <w:sz w:val="24"/>
          <w:szCs w:val="24"/>
        </w:rPr>
        <w:t>procedur postępowania i mechanizmów kontrol</w:t>
      </w:r>
      <w:r w:rsidR="00844FBE" w:rsidRPr="009751C1">
        <w:rPr>
          <w:rFonts w:ascii="Calibri" w:hAnsi="Calibri"/>
          <w:sz w:val="24"/>
          <w:szCs w:val="24"/>
        </w:rPr>
        <w:t>nych</w:t>
      </w:r>
      <w:r w:rsidRPr="009751C1">
        <w:rPr>
          <w:rFonts w:ascii="Calibri" w:hAnsi="Calibri"/>
          <w:sz w:val="24"/>
          <w:szCs w:val="24"/>
        </w:rPr>
        <w:t>),</w:t>
      </w:r>
    </w:p>
    <w:p w14:paraId="3B988D67" w14:textId="77777777" w:rsidR="00291815" w:rsidRPr="009751C1" w:rsidRDefault="00291815" w:rsidP="00B641CC">
      <w:pPr>
        <w:numPr>
          <w:ilvl w:val="3"/>
          <w:numId w:val="15"/>
        </w:numPr>
        <w:spacing w:line="360" w:lineRule="auto"/>
        <w:ind w:left="1020" w:hanging="340"/>
        <w:rPr>
          <w:rFonts w:ascii="Calibri" w:hAnsi="Calibri"/>
          <w:sz w:val="24"/>
          <w:szCs w:val="24"/>
        </w:rPr>
      </w:pPr>
      <w:r w:rsidRPr="009751C1">
        <w:rPr>
          <w:rFonts w:ascii="Calibri" w:hAnsi="Calibri"/>
          <w:sz w:val="24"/>
          <w:szCs w:val="24"/>
        </w:rPr>
        <w:t>tolerowaniu ryzyka i ewentualnym opracowaniu planów awaryjnych na przypadki urzeczywistnienia się ryzyka,</w:t>
      </w:r>
    </w:p>
    <w:p w14:paraId="66758AA6" w14:textId="77777777" w:rsidR="00291815" w:rsidRPr="009751C1" w:rsidRDefault="00291815" w:rsidP="00B641CC">
      <w:pPr>
        <w:numPr>
          <w:ilvl w:val="3"/>
          <w:numId w:val="15"/>
        </w:numPr>
        <w:spacing w:line="360" w:lineRule="auto"/>
        <w:ind w:left="1020" w:hanging="340"/>
        <w:rPr>
          <w:rFonts w:ascii="Calibri" w:hAnsi="Calibri"/>
          <w:sz w:val="24"/>
          <w:szCs w:val="24"/>
        </w:rPr>
      </w:pPr>
      <w:r w:rsidRPr="009751C1">
        <w:rPr>
          <w:rFonts w:ascii="Calibri" w:hAnsi="Calibri"/>
          <w:sz w:val="24"/>
          <w:szCs w:val="24"/>
        </w:rPr>
        <w:t>monitorowaniu ryzyka.</w:t>
      </w:r>
    </w:p>
    <w:p w14:paraId="4654E12A" w14:textId="77777777" w:rsidR="00291815" w:rsidRPr="009751C1" w:rsidRDefault="00291815" w:rsidP="008769B9">
      <w:pPr>
        <w:pStyle w:val="podrozdzia"/>
      </w:pPr>
      <w:r w:rsidRPr="009751C1">
        <w:t xml:space="preserve">Monitorowanie ryzyka i komunikacja </w:t>
      </w:r>
    </w:p>
    <w:p w14:paraId="414EE073" w14:textId="77777777" w:rsidR="00291815" w:rsidRPr="009751C1" w:rsidRDefault="00291815" w:rsidP="00B641CC">
      <w:pPr>
        <w:numPr>
          <w:ilvl w:val="2"/>
          <w:numId w:val="13"/>
        </w:numPr>
        <w:spacing w:line="360" w:lineRule="auto"/>
        <w:ind w:left="680" w:hanging="680"/>
        <w:rPr>
          <w:rFonts w:ascii="Calibri" w:hAnsi="Calibri"/>
          <w:sz w:val="24"/>
          <w:szCs w:val="24"/>
        </w:rPr>
      </w:pPr>
      <w:r w:rsidRPr="009751C1">
        <w:rPr>
          <w:rFonts w:ascii="Calibri" w:hAnsi="Calibri"/>
          <w:sz w:val="24"/>
          <w:szCs w:val="24"/>
        </w:rPr>
        <w:t xml:space="preserve">Monitorowanie ryzyka ma na celu ustalenie czy ryzyko nadal występuje, czy pojawiło się nowe ryzyko, czy prawdopodobieństwo i </w:t>
      </w:r>
      <w:r w:rsidR="001C6325" w:rsidRPr="009751C1">
        <w:rPr>
          <w:rFonts w:ascii="Calibri" w:hAnsi="Calibri"/>
          <w:sz w:val="24"/>
          <w:szCs w:val="24"/>
        </w:rPr>
        <w:t>skutek</w:t>
      </w:r>
      <w:r w:rsidRPr="009751C1">
        <w:rPr>
          <w:rFonts w:ascii="Calibri" w:hAnsi="Calibri"/>
          <w:sz w:val="24"/>
          <w:szCs w:val="24"/>
        </w:rPr>
        <w:t xml:space="preserve"> ryzyka zmieniło się oraz czy mechanizmy kontrol</w:t>
      </w:r>
      <w:r w:rsidR="00844FBE" w:rsidRPr="009751C1">
        <w:rPr>
          <w:rFonts w:ascii="Calibri" w:hAnsi="Calibri"/>
          <w:sz w:val="24"/>
          <w:szCs w:val="24"/>
        </w:rPr>
        <w:t>ne</w:t>
      </w:r>
      <w:r w:rsidRPr="009751C1">
        <w:rPr>
          <w:rFonts w:ascii="Calibri" w:hAnsi="Calibri"/>
          <w:sz w:val="24"/>
          <w:szCs w:val="24"/>
        </w:rPr>
        <w:t xml:space="preserve"> są skuteczne. Monitorowaniu podlega zarówno działalność Uczelni, jak i zmiany zachodzące w środowisku zewnętrznym (np. zmiany polityczne, ekonomiczne, legislacyjne, społeczne).</w:t>
      </w:r>
    </w:p>
    <w:p w14:paraId="0A056D9A" w14:textId="250B5AFF" w:rsidR="00B904B0" w:rsidRPr="009751C1" w:rsidRDefault="00B904B0" w:rsidP="00B641CC">
      <w:pPr>
        <w:numPr>
          <w:ilvl w:val="2"/>
          <w:numId w:val="13"/>
        </w:numPr>
        <w:spacing w:before="60" w:line="360" w:lineRule="auto"/>
        <w:ind w:left="680" w:hanging="680"/>
        <w:rPr>
          <w:rFonts w:ascii="Calibri" w:hAnsi="Calibri"/>
          <w:sz w:val="24"/>
          <w:szCs w:val="24"/>
        </w:rPr>
      </w:pPr>
      <w:r w:rsidRPr="009751C1">
        <w:rPr>
          <w:rFonts w:ascii="Calibri" w:hAnsi="Calibri"/>
          <w:sz w:val="24"/>
          <w:szCs w:val="24"/>
        </w:rPr>
        <w:t xml:space="preserve">Osoby odpowiedzialne za monitorowanie ryzyka, przebieg monitorowania </w:t>
      </w:r>
      <w:r w:rsidR="003210C8" w:rsidRPr="009751C1">
        <w:rPr>
          <w:rFonts w:ascii="Calibri" w:hAnsi="Calibri"/>
          <w:sz w:val="24"/>
          <w:szCs w:val="24"/>
        </w:rPr>
        <w:t>oraz</w:t>
      </w:r>
      <w:r w:rsidRPr="009751C1">
        <w:rPr>
          <w:rFonts w:ascii="Calibri" w:hAnsi="Calibri"/>
          <w:sz w:val="24"/>
          <w:szCs w:val="24"/>
        </w:rPr>
        <w:t xml:space="preserve"> sposób komunikowania informacji dotyczących ryzyka określa </w:t>
      </w:r>
      <w:r w:rsidRPr="009751C1">
        <w:rPr>
          <w:rFonts w:ascii="Calibri" w:hAnsi="Calibri"/>
          <w:iCs/>
          <w:sz w:val="24"/>
          <w:szCs w:val="24"/>
        </w:rPr>
        <w:t>Procedura zarządzania ryzykiem</w:t>
      </w:r>
      <w:r w:rsidRPr="009751C1">
        <w:rPr>
          <w:rFonts w:ascii="Calibri" w:hAnsi="Calibri"/>
          <w:sz w:val="24"/>
          <w:szCs w:val="24"/>
        </w:rPr>
        <w:t>.</w:t>
      </w:r>
    </w:p>
    <w:sectPr w:rsidR="00B904B0" w:rsidRPr="009751C1" w:rsidSect="00B92586">
      <w:footerReference w:type="even" r:id="rId8"/>
      <w:pgSz w:w="11906" w:h="16838"/>
      <w:pgMar w:top="851" w:right="851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7EC5D" w14:textId="77777777" w:rsidR="001B3C67" w:rsidRDefault="001B3C67">
      <w:r>
        <w:separator/>
      </w:r>
    </w:p>
  </w:endnote>
  <w:endnote w:type="continuationSeparator" w:id="0">
    <w:p w14:paraId="582DC5AA" w14:textId="77777777" w:rsidR="001B3C67" w:rsidRDefault="001B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C8C0" w14:textId="77777777" w:rsidR="004279CB" w:rsidRDefault="004279CB" w:rsidP="008508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405F58" w14:textId="77777777" w:rsidR="004279CB" w:rsidRDefault="004279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F9E45" w14:textId="77777777" w:rsidR="001B3C67" w:rsidRDefault="001B3C67">
      <w:r>
        <w:separator/>
      </w:r>
    </w:p>
  </w:footnote>
  <w:footnote w:type="continuationSeparator" w:id="0">
    <w:p w14:paraId="5AF566B8" w14:textId="77777777" w:rsidR="001B3C67" w:rsidRDefault="001B3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3FB0"/>
    <w:multiLevelType w:val="hybridMultilevel"/>
    <w:tmpl w:val="7F321CDE"/>
    <w:lvl w:ilvl="0" w:tplc="CD3C14D6">
      <w:start w:val="1"/>
      <w:numFmt w:val="decimal"/>
      <w:pStyle w:val="Rozdzia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 w:val="0"/>
        <w:color w:val="auto"/>
        <w:sz w:val="24"/>
      </w:rPr>
    </w:lvl>
    <w:lvl w:ilvl="1" w:tplc="E16C91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70"/>
        </w:tabs>
        <w:ind w:left="1980" w:firstLine="0"/>
      </w:pPr>
      <w:rPr>
        <w:rFonts w:hint="default"/>
        <w:b w:val="0"/>
        <w:i w:val="0"/>
        <w:sz w:val="24"/>
        <w:szCs w:val="24"/>
      </w:rPr>
    </w:lvl>
    <w:lvl w:ilvl="3" w:tplc="6590CAF6">
      <w:start w:val="1"/>
      <w:numFmt w:val="bullet"/>
      <w:lvlText w:val=""/>
      <w:lvlJc w:val="left"/>
      <w:pPr>
        <w:tabs>
          <w:tab w:val="num" w:pos="2974"/>
        </w:tabs>
        <w:ind w:left="3087" w:hanging="567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84B38"/>
    <w:multiLevelType w:val="multilevel"/>
    <w:tmpl w:val="AC2814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1E3E6BF5"/>
    <w:multiLevelType w:val="multilevel"/>
    <w:tmpl w:val="8C7CFB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" w15:restartNumberingAfterBreak="0">
    <w:nsid w:val="2A1B77A7"/>
    <w:multiLevelType w:val="hybridMultilevel"/>
    <w:tmpl w:val="CD16638C"/>
    <w:lvl w:ilvl="0" w:tplc="551A5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E156FF"/>
    <w:multiLevelType w:val="multilevel"/>
    <w:tmpl w:val="783E5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%1."/>
      <w:lvlJc w:val="left"/>
      <w:pPr>
        <w:ind w:left="792" w:hanging="45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D732C1C"/>
    <w:multiLevelType w:val="hybridMultilevel"/>
    <w:tmpl w:val="D298C8D2"/>
    <w:lvl w:ilvl="0" w:tplc="3DC63468">
      <w:start w:val="1"/>
      <w:numFmt w:val="decimal"/>
      <w:lvlText w:val="%1)"/>
      <w:lvlJc w:val="left"/>
      <w:pPr>
        <w:tabs>
          <w:tab w:val="num" w:pos="1240"/>
        </w:tabs>
        <w:ind w:left="1240" w:hanging="540"/>
      </w:pPr>
      <w:rPr>
        <w:rFonts w:hint="default"/>
      </w:rPr>
    </w:lvl>
    <w:lvl w:ilvl="1" w:tplc="6590CAF6">
      <w:start w:val="1"/>
      <w:numFmt w:val="bullet"/>
      <w:lvlText w:val=""/>
      <w:lvlJc w:val="left"/>
      <w:pPr>
        <w:tabs>
          <w:tab w:val="num" w:pos="1874"/>
        </w:tabs>
        <w:ind w:left="1987" w:hanging="56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413008C5"/>
    <w:multiLevelType w:val="multilevel"/>
    <w:tmpl w:val="79EE2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%1."/>
      <w:lvlJc w:val="left"/>
      <w:pPr>
        <w:ind w:left="792" w:hanging="452"/>
      </w:pPr>
      <w:rPr>
        <w:rFonts w:ascii="Calibri" w:hAnsi="Calibri" w:cs="Calibri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1FD557D"/>
    <w:multiLevelType w:val="multilevel"/>
    <w:tmpl w:val="AF304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%1."/>
      <w:lvlJc w:val="left"/>
      <w:pPr>
        <w:ind w:left="792" w:hanging="45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F025404"/>
    <w:multiLevelType w:val="multilevel"/>
    <w:tmpl w:val="EC02CB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998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55F30DB6"/>
    <w:multiLevelType w:val="multilevel"/>
    <w:tmpl w:val="7EFAA8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998" w:hanging="72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5A594146"/>
    <w:multiLevelType w:val="multilevel"/>
    <w:tmpl w:val="AB124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rozdzia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998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5EA8214D"/>
    <w:multiLevelType w:val="hybridMultilevel"/>
    <w:tmpl w:val="F6BE6386"/>
    <w:lvl w:ilvl="0" w:tplc="FFFFFFFF">
      <w:start w:val="1"/>
      <w:numFmt w:val="decimal"/>
      <w:lvlText w:val="%1)"/>
      <w:lvlJc w:val="left"/>
      <w:pPr>
        <w:tabs>
          <w:tab w:val="num" w:pos="1754"/>
        </w:tabs>
        <w:ind w:left="175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67"/>
        </w:tabs>
        <w:ind w:left="2267" w:hanging="360"/>
      </w:pPr>
    </w:lvl>
    <w:lvl w:ilvl="2" w:tplc="FFFFFFFF">
      <w:start w:val="1"/>
      <w:numFmt w:val="decimal"/>
      <w:lvlText w:val="%3)"/>
      <w:lvlJc w:val="left"/>
      <w:pPr>
        <w:ind w:left="1780" w:hanging="360"/>
      </w:pPr>
      <w:rPr>
        <w:b w:val="0"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07"/>
        </w:tabs>
        <w:ind w:left="37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27"/>
        </w:tabs>
        <w:ind w:left="44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47"/>
        </w:tabs>
        <w:ind w:left="51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67"/>
        </w:tabs>
        <w:ind w:left="58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87"/>
        </w:tabs>
        <w:ind w:left="65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07"/>
        </w:tabs>
        <w:ind w:left="7307" w:hanging="180"/>
      </w:pPr>
    </w:lvl>
  </w:abstractNum>
  <w:abstractNum w:abstractNumId="12" w15:restartNumberingAfterBreak="0">
    <w:nsid w:val="6B321CCC"/>
    <w:multiLevelType w:val="multilevel"/>
    <w:tmpl w:val="783E5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%1."/>
      <w:lvlJc w:val="left"/>
      <w:pPr>
        <w:ind w:left="792" w:hanging="45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CEE3E7E"/>
    <w:multiLevelType w:val="multilevel"/>
    <w:tmpl w:val="3E62B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824BB8"/>
    <w:multiLevelType w:val="hybridMultilevel"/>
    <w:tmpl w:val="7346D3A2"/>
    <w:lvl w:ilvl="0" w:tplc="FFFFFFFF">
      <w:start w:val="1"/>
      <w:numFmt w:val="decimal"/>
      <w:lvlText w:val="%1)"/>
      <w:lvlJc w:val="left"/>
      <w:pPr>
        <w:tabs>
          <w:tab w:val="num" w:pos="1240"/>
        </w:tabs>
        <w:ind w:left="1240" w:hanging="54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780" w:hanging="360"/>
      </w:pPr>
      <w:rPr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 w15:restartNumberingAfterBreak="0">
    <w:nsid w:val="71D71D34"/>
    <w:multiLevelType w:val="hybridMultilevel"/>
    <w:tmpl w:val="B428DC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 w:val="0"/>
        <w:color w:val="auto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70"/>
        </w:tabs>
        <w:ind w:left="1980" w:firstLine="0"/>
      </w:pPr>
      <w:rPr>
        <w:rFonts w:hint="default"/>
        <w:b w:val="0"/>
        <w:i w:val="0"/>
        <w:sz w:val="24"/>
        <w:szCs w:val="24"/>
      </w:rPr>
    </w:lvl>
    <w:lvl w:ilvl="3" w:tplc="FFFFFFFF">
      <w:start w:val="1"/>
      <w:numFmt w:val="decimal"/>
      <w:lvlText w:val="%4)"/>
      <w:lvlJc w:val="left"/>
      <w:pPr>
        <w:ind w:left="1780" w:hanging="360"/>
      </w:pPr>
      <w:rPr>
        <w:b w:val="0"/>
        <w:i w:val="0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0E748E"/>
    <w:multiLevelType w:val="multilevel"/>
    <w:tmpl w:val="E30E2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805785"/>
    <w:multiLevelType w:val="hybridMultilevel"/>
    <w:tmpl w:val="90523186"/>
    <w:lvl w:ilvl="0" w:tplc="C734B8E0">
      <w:start w:val="1"/>
      <w:numFmt w:val="decimal"/>
      <w:lvlText w:val="%1)"/>
      <w:lvlJc w:val="left"/>
      <w:pPr>
        <w:tabs>
          <w:tab w:val="num" w:pos="1754"/>
        </w:tabs>
        <w:ind w:left="1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67"/>
        </w:tabs>
        <w:ind w:left="2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87"/>
        </w:tabs>
        <w:ind w:left="29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07"/>
        </w:tabs>
        <w:ind w:left="37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27"/>
        </w:tabs>
        <w:ind w:left="44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47"/>
        </w:tabs>
        <w:ind w:left="51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67"/>
        </w:tabs>
        <w:ind w:left="5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87"/>
        </w:tabs>
        <w:ind w:left="6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07"/>
        </w:tabs>
        <w:ind w:left="7307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6"/>
  </w:num>
  <w:num w:numId="5">
    <w:abstractNumId w:val="3"/>
  </w:num>
  <w:num w:numId="6">
    <w:abstractNumId w:val="16"/>
  </w:num>
  <w:num w:numId="7">
    <w:abstractNumId w:val="17"/>
  </w:num>
  <w:num w:numId="8">
    <w:abstractNumId w:val="12"/>
  </w:num>
  <w:num w:numId="9">
    <w:abstractNumId w:val="4"/>
  </w:num>
  <w:num w:numId="10">
    <w:abstractNumId w:val="7"/>
  </w:num>
  <w:num w:numId="11">
    <w:abstractNumId w:val="2"/>
  </w:num>
  <w:num w:numId="12">
    <w:abstractNumId w:val="1"/>
  </w:num>
  <w:num w:numId="13">
    <w:abstractNumId w:val="10"/>
  </w:num>
  <w:num w:numId="14">
    <w:abstractNumId w:val="8"/>
  </w:num>
  <w:num w:numId="15">
    <w:abstractNumId w:val="9"/>
  </w:num>
  <w:num w:numId="16">
    <w:abstractNumId w:val="14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D0"/>
    <w:rsid w:val="00001609"/>
    <w:rsid w:val="000021D5"/>
    <w:rsid w:val="00003768"/>
    <w:rsid w:val="00006D0D"/>
    <w:rsid w:val="000159AA"/>
    <w:rsid w:val="00026455"/>
    <w:rsid w:val="00044E12"/>
    <w:rsid w:val="00046960"/>
    <w:rsid w:val="00052FD3"/>
    <w:rsid w:val="00053B33"/>
    <w:rsid w:val="0005541A"/>
    <w:rsid w:val="00062ACA"/>
    <w:rsid w:val="00071128"/>
    <w:rsid w:val="000732C6"/>
    <w:rsid w:val="00073794"/>
    <w:rsid w:val="00073A2B"/>
    <w:rsid w:val="00086A88"/>
    <w:rsid w:val="000937A3"/>
    <w:rsid w:val="000A52D9"/>
    <w:rsid w:val="000B0094"/>
    <w:rsid w:val="000B3C0D"/>
    <w:rsid w:val="000C1023"/>
    <w:rsid w:val="000C7F7A"/>
    <w:rsid w:val="000D0843"/>
    <w:rsid w:val="000D1D13"/>
    <w:rsid w:val="000D3F3A"/>
    <w:rsid w:val="000E7C93"/>
    <w:rsid w:val="000F7E76"/>
    <w:rsid w:val="00122A63"/>
    <w:rsid w:val="00140744"/>
    <w:rsid w:val="001429F3"/>
    <w:rsid w:val="00166252"/>
    <w:rsid w:val="001774BB"/>
    <w:rsid w:val="00177DFE"/>
    <w:rsid w:val="0019440F"/>
    <w:rsid w:val="001A46DE"/>
    <w:rsid w:val="001B1FBA"/>
    <w:rsid w:val="001B3C67"/>
    <w:rsid w:val="001B694B"/>
    <w:rsid w:val="001C6325"/>
    <w:rsid w:val="001D49F7"/>
    <w:rsid w:val="001E0A0E"/>
    <w:rsid w:val="001E5B30"/>
    <w:rsid w:val="001F5082"/>
    <w:rsid w:val="001F6A47"/>
    <w:rsid w:val="002179F3"/>
    <w:rsid w:val="00221642"/>
    <w:rsid w:val="00231BC6"/>
    <w:rsid w:val="002373BD"/>
    <w:rsid w:val="00237552"/>
    <w:rsid w:val="00245CF2"/>
    <w:rsid w:val="00250C30"/>
    <w:rsid w:val="00271EDD"/>
    <w:rsid w:val="00275BFC"/>
    <w:rsid w:val="002819CD"/>
    <w:rsid w:val="00291815"/>
    <w:rsid w:val="002A0440"/>
    <w:rsid w:val="002A2090"/>
    <w:rsid w:val="002B51D4"/>
    <w:rsid w:val="002C00B7"/>
    <w:rsid w:val="002C0DA3"/>
    <w:rsid w:val="002D2071"/>
    <w:rsid w:val="002D5F4F"/>
    <w:rsid w:val="002D6901"/>
    <w:rsid w:val="002E3355"/>
    <w:rsid w:val="002E7B5E"/>
    <w:rsid w:val="003019E5"/>
    <w:rsid w:val="0030497E"/>
    <w:rsid w:val="0030553F"/>
    <w:rsid w:val="0031299C"/>
    <w:rsid w:val="00315D26"/>
    <w:rsid w:val="00316BA9"/>
    <w:rsid w:val="003210C8"/>
    <w:rsid w:val="003215FE"/>
    <w:rsid w:val="003462BC"/>
    <w:rsid w:val="0035044C"/>
    <w:rsid w:val="003631C8"/>
    <w:rsid w:val="00366D7E"/>
    <w:rsid w:val="00372677"/>
    <w:rsid w:val="0037389E"/>
    <w:rsid w:val="00373F8E"/>
    <w:rsid w:val="00377A67"/>
    <w:rsid w:val="003B5CB4"/>
    <w:rsid w:val="003C3EE3"/>
    <w:rsid w:val="003C5F02"/>
    <w:rsid w:val="003C71AC"/>
    <w:rsid w:val="003D2E4A"/>
    <w:rsid w:val="003D3C29"/>
    <w:rsid w:val="003D574C"/>
    <w:rsid w:val="003E3A82"/>
    <w:rsid w:val="003E5226"/>
    <w:rsid w:val="003F56EE"/>
    <w:rsid w:val="00407F8B"/>
    <w:rsid w:val="004279CB"/>
    <w:rsid w:val="004315A9"/>
    <w:rsid w:val="00432366"/>
    <w:rsid w:val="004341BF"/>
    <w:rsid w:val="00473028"/>
    <w:rsid w:val="00485630"/>
    <w:rsid w:val="00487C65"/>
    <w:rsid w:val="00493ABD"/>
    <w:rsid w:val="004C5D47"/>
    <w:rsid w:val="004C6F7A"/>
    <w:rsid w:val="004C71E3"/>
    <w:rsid w:val="004D50F5"/>
    <w:rsid w:val="004D5884"/>
    <w:rsid w:val="004E7243"/>
    <w:rsid w:val="004F1FDE"/>
    <w:rsid w:val="00511980"/>
    <w:rsid w:val="0052597B"/>
    <w:rsid w:val="00537C1E"/>
    <w:rsid w:val="00537D07"/>
    <w:rsid w:val="005434FF"/>
    <w:rsid w:val="00575ACA"/>
    <w:rsid w:val="005859CA"/>
    <w:rsid w:val="00594A94"/>
    <w:rsid w:val="005A4299"/>
    <w:rsid w:val="005A78DA"/>
    <w:rsid w:val="005B2BAB"/>
    <w:rsid w:val="005B628B"/>
    <w:rsid w:val="005B6751"/>
    <w:rsid w:val="005C03E3"/>
    <w:rsid w:val="005C4839"/>
    <w:rsid w:val="005E5852"/>
    <w:rsid w:val="005E75EB"/>
    <w:rsid w:val="005F34F3"/>
    <w:rsid w:val="00620FAF"/>
    <w:rsid w:val="006266A4"/>
    <w:rsid w:val="006304D0"/>
    <w:rsid w:val="006535AD"/>
    <w:rsid w:val="006652C9"/>
    <w:rsid w:val="00667FA7"/>
    <w:rsid w:val="006748BC"/>
    <w:rsid w:val="00695D29"/>
    <w:rsid w:val="006B03F3"/>
    <w:rsid w:val="006B30B4"/>
    <w:rsid w:val="006B6D2C"/>
    <w:rsid w:val="006D5FFA"/>
    <w:rsid w:val="006E45AB"/>
    <w:rsid w:val="006F3A80"/>
    <w:rsid w:val="007072A8"/>
    <w:rsid w:val="007232EA"/>
    <w:rsid w:val="00723A2A"/>
    <w:rsid w:val="007257A0"/>
    <w:rsid w:val="00727095"/>
    <w:rsid w:val="007334E0"/>
    <w:rsid w:val="007550E8"/>
    <w:rsid w:val="0075684C"/>
    <w:rsid w:val="00760C27"/>
    <w:rsid w:val="00760CBE"/>
    <w:rsid w:val="007621E0"/>
    <w:rsid w:val="0076287B"/>
    <w:rsid w:val="00767B99"/>
    <w:rsid w:val="00771637"/>
    <w:rsid w:val="0077198E"/>
    <w:rsid w:val="007759DD"/>
    <w:rsid w:val="00776984"/>
    <w:rsid w:val="007779EC"/>
    <w:rsid w:val="00793F70"/>
    <w:rsid w:val="00797C6F"/>
    <w:rsid w:val="007A163D"/>
    <w:rsid w:val="007B582D"/>
    <w:rsid w:val="007B5FFD"/>
    <w:rsid w:val="007D1E5B"/>
    <w:rsid w:val="007D211D"/>
    <w:rsid w:val="007E0C74"/>
    <w:rsid w:val="007F7D4F"/>
    <w:rsid w:val="008030B1"/>
    <w:rsid w:val="0081644B"/>
    <w:rsid w:val="008215D9"/>
    <w:rsid w:val="00826DF7"/>
    <w:rsid w:val="008272DA"/>
    <w:rsid w:val="00844F67"/>
    <w:rsid w:val="00844FBE"/>
    <w:rsid w:val="008473A7"/>
    <w:rsid w:val="00850821"/>
    <w:rsid w:val="008539FC"/>
    <w:rsid w:val="0085450E"/>
    <w:rsid w:val="00855BC5"/>
    <w:rsid w:val="00862B2A"/>
    <w:rsid w:val="00866F64"/>
    <w:rsid w:val="008769B9"/>
    <w:rsid w:val="00881971"/>
    <w:rsid w:val="008825DB"/>
    <w:rsid w:val="00884A5F"/>
    <w:rsid w:val="008B6A2A"/>
    <w:rsid w:val="008C388C"/>
    <w:rsid w:val="008D2880"/>
    <w:rsid w:val="008D3383"/>
    <w:rsid w:val="008E7255"/>
    <w:rsid w:val="008E755C"/>
    <w:rsid w:val="008F0131"/>
    <w:rsid w:val="008F34F3"/>
    <w:rsid w:val="00902631"/>
    <w:rsid w:val="00906BC9"/>
    <w:rsid w:val="00906FF0"/>
    <w:rsid w:val="009148DB"/>
    <w:rsid w:val="00915C17"/>
    <w:rsid w:val="0092320E"/>
    <w:rsid w:val="0092505F"/>
    <w:rsid w:val="009331D4"/>
    <w:rsid w:val="009360C3"/>
    <w:rsid w:val="00937247"/>
    <w:rsid w:val="00947A0D"/>
    <w:rsid w:val="00952F34"/>
    <w:rsid w:val="00953AC7"/>
    <w:rsid w:val="009552D5"/>
    <w:rsid w:val="009637DA"/>
    <w:rsid w:val="009751C1"/>
    <w:rsid w:val="00981621"/>
    <w:rsid w:val="00987511"/>
    <w:rsid w:val="0099280F"/>
    <w:rsid w:val="00994646"/>
    <w:rsid w:val="009C6755"/>
    <w:rsid w:val="00A03F64"/>
    <w:rsid w:val="00A10166"/>
    <w:rsid w:val="00A17750"/>
    <w:rsid w:val="00A235D5"/>
    <w:rsid w:val="00A3327E"/>
    <w:rsid w:val="00A36937"/>
    <w:rsid w:val="00A40B0E"/>
    <w:rsid w:val="00A43C1A"/>
    <w:rsid w:val="00A560C9"/>
    <w:rsid w:val="00A81ED4"/>
    <w:rsid w:val="00A83B5C"/>
    <w:rsid w:val="00A848B3"/>
    <w:rsid w:val="00A8559F"/>
    <w:rsid w:val="00AA1768"/>
    <w:rsid w:val="00AB3918"/>
    <w:rsid w:val="00AB7FF9"/>
    <w:rsid w:val="00AC378A"/>
    <w:rsid w:val="00AC6F19"/>
    <w:rsid w:val="00AD2C95"/>
    <w:rsid w:val="00AD4E4A"/>
    <w:rsid w:val="00AE1121"/>
    <w:rsid w:val="00AF238C"/>
    <w:rsid w:val="00AF6492"/>
    <w:rsid w:val="00B008FA"/>
    <w:rsid w:val="00B13CC1"/>
    <w:rsid w:val="00B302D0"/>
    <w:rsid w:val="00B40927"/>
    <w:rsid w:val="00B43826"/>
    <w:rsid w:val="00B57B0B"/>
    <w:rsid w:val="00B6278F"/>
    <w:rsid w:val="00B627DC"/>
    <w:rsid w:val="00B62CF8"/>
    <w:rsid w:val="00B641CC"/>
    <w:rsid w:val="00B66445"/>
    <w:rsid w:val="00B67DE5"/>
    <w:rsid w:val="00B80775"/>
    <w:rsid w:val="00B817A6"/>
    <w:rsid w:val="00B904B0"/>
    <w:rsid w:val="00B9246E"/>
    <w:rsid w:val="00B92586"/>
    <w:rsid w:val="00B92D06"/>
    <w:rsid w:val="00BB6BB5"/>
    <w:rsid w:val="00BC0DD2"/>
    <w:rsid w:val="00BC28A2"/>
    <w:rsid w:val="00BE2456"/>
    <w:rsid w:val="00BE5543"/>
    <w:rsid w:val="00BF7391"/>
    <w:rsid w:val="00C1040B"/>
    <w:rsid w:val="00C17B80"/>
    <w:rsid w:val="00C259F1"/>
    <w:rsid w:val="00C3378E"/>
    <w:rsid w:val="00C36189"/>
    <w:rsid w:val="00C40876"/>
    <w:rsid w:val="00C426F3"/>
    <w:rsid w:val="00C55F3D"/>
    <w:rsid w:val="00C668D2"/>
    <w:rsid w:val="00C7465D"/>
    <w:rsid w:val="00C75BDA"/>
    <w:rsid w:val="00C779B2"/>
    <w:rsid w:val="00C81EE8"/>
    <w:rsid w:val="00C91F20"/>
    <w:rsid w:val="00C9340D"/>
    <w:rsid w:val="00CA45A2"/>
    <w:rsid w:val="00CA4BE6"/>
    <w:rsid w:val="00CA6D0B"/>
    <w:rsid w:val="00CA6E74"/>
    <w:rsid w:val="00CB25F4"/>
    <w:rsid w:val="00CE470C"/>
    <w:rsid w:val="00D07669"/>
    <w:rsid w:val="00D11731"/>
    <w:rsid w:val="00D12F4A"/>
    <w:rsid w:val="00D266FB"/>
    <w:rsid w:val="00D50D37"/>
    <w:rsid w:val="00D627FC"/>
    <w:rsid w:val="00D75C58"/>
    <w:rsid w:val="00D75D39"/>
    <w:rsid w:val="00D942AE"/>
    <w:rsid w:val="00DA6D9E"/>
    <w:rsid w:val="00DC08F3"/>
    <w:rsid w:val="00DC0A78"/>
    <w:rsid w:val="00DD0ADB"/>
    <w:rsid w:val="00DD6C18"/>
    <w:rsid w:val="00DE2D1E"/>
    <w:rsid w:val="00DE7E15"/>
    <w:rsid w:val="00DF35A5"/>
    <w:rsid w:val="00DF7A05"/>
    <w:rsid w:val="00E33048"/>
    <w:rsid w:val="00E559D6"/>
    <w:rsid w:val="00E64791"/>
    <w:rsid w:val="00E72C71"/>
    <w:rsid w:val="00E74D66"/>
    <w:rsid w:val="00E805B2"/>
    <w:rsid w:val="00E823AB"/>
    <w:rsid w:val="00E91A11"/>
    <w:rsid w:val="00E94FA1"/>
    <w:rsid w:val="00EA21E9"/>
    <w:rsid w:val="00EA5EB0"/>
    <w:rsid w:val="00EA6430"/>
    <w:rsid w:val="00EA6B3B"/>
    <w:rsid w:val="00EB3D09"/>
    <w:rsid w:val="00EC0F28"/>
    <w:rsid w:val="00EC2708"/>
    <w:rsid w:val="00ED2409"/>
    <w:rsid w:val="00ED5E8B"/>
    <w:rsid w:val="00EF5F30"/>
    <w:rsid w:val="00EF7FA9"/>
    <w:rsid w:val="00F16BC7"/>
    <w:rsid w:val="00F415CA"/>
    <w:rsid w:val="00F45F67"/>
    <w:rsid w:val="00F46B5C"/>
    <w:rsid w:val="00F610A8"/>
    <w:rsid w:val="00F642F3"/>
    <w:rsid w:val="00F715D6"/>
    <w:rsid w:val="00F75526"/>
    <w:rsid w:val="00F86FFC"/>
    <w:rsid w:val="00F91301"/>
    <w:rsid w:val="00FA245B"/>
    <w:rsid w:val="00FA434A"/>
    <w:rsid w:val="00FB2847"/>
    <w:rsid w:val="00FB534A"/>
    <w:rsid w:val="00FC7161"/>
    <w:rsid w:val="00FD139C"/>
    <w:rsid w:val="00FD36E1"/>
    <w:rsid w:val="00FD5290"/>
    <w:rsid w:val="00FD5E1C"/>
    <w:rsid w:val="00FD63DD"/>
    <w:rsid w:val="00FF0D13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2731F2"/>
  <w15:chartTrackingRefBased/>
  <w15:docId w15:val="{C89E2181-47D1-4234-9F6F-80CDB9BF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34E0"/>
    <w:pPr>
      <w:spacing w:line="276" w:lineRule="auto"/>
      <w:jc w:val="center"/>
      <w:outlineLvl w:val="0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C378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85082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0821"/>
  </w:style>
  <w:style w:type="table" w:styleId="Tabela-Siatka">
    <w:name w:val="Table Grid"/>
    <w:basedOn w:val="Standardowy"/>
    <w:rsid w:val="00DA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5434F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160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1609"/>
  </w:style>
  <w:style w:type="character" w:styleId="Odwoanieprzypisukocowego">
    <w:name w:val="endnote reference"/>
    <w:uiPriority w:val="99"/>
    <w:semiHidden/>
    <w:unhideWhenUsed/>
    <w:rsid w:val="00001609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AC378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7334E0"/>
    <w:rPr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07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7669"/>
  </w:style>
  <w:style w:type="paragraph" w:customStyle="1" w:styleId="Rozdzia">
    <w:name w:val="Rozdział"/>
    <w:basedOn w:val="Normalny"/>
    <w:link w:val="RozdziaZnak"/>
    <w:qFormat/>
    <w:rsid w:val="00B641CC"/>
    <w:pPr>
      <w:numPr>
        <w:numId w:val="1"/>
      </w:numPr>
      <w:tabs>
        <w:tab w:val="clear" w:pos="720"/>
      </w:tabs>
      <w:spacing w:before="240" w:after="60" w:line="360" w:lineRule="auto"/>
      <w:ind w:left="340" w:hanging="340"/>
      <w:outlineLvl w:val="1"/>
    </w:pPr>
    <w:rPr>
      <w:rFonts w:ascii="Calibri" w:hAnsi="Calibri"/>
      <w:b/>
      <w:sz w:val="24"/>
      <w:szCs w:val="24"/>
    </w:rPr>
  </w:style>
  <w:style w:type="paragraph" w:customStyle="1" w:styleId="podrozdzia">
    <w:name w:val="podrozdział"/>
    <w:basedOn w:val="Normalny"/>
    <w:link w:val="podrozdziaZnak"/>
    <w:qFormat/>
    <w:rsid w:val="00B641CC"/>
    <w:pPr>
      <w:numPr>
        <w:ilvl w:val="1"/>
        <w:numId w:val="13"/>
      </w:numPr>
      <w:spacing w:after="60" w:line="360" w:lineRule="auto"/>
      <w:ind w:left="425" w:hanging="425"/>
      <w:outlineLvl w:val="2"/>
    </w:pPr>
    <w:rPr>
      <w:rFonts w:ascii="Calibri" w:hAnsi="Calibri"/>
      <w:b/>
      <w:sz w:val="24"/>
      <w:szCs w:val="24"/>
    </w:rPr>
  </w:style>
  <w:style w:type="character" w:customStyle="1" w:styleId="RozdziaZnak">
    <w:name w:val="Rozdział Znak"/>
    <w:basedOn w:val="Domylnaczcionkaakapitu"/>
    <w:link w:val="Rozdzia"/>
    <w:rsid w:val="00B641CC"/>
    <w:rPr>
      <w:rFonts w:ascii="Calibri" w:hAnsi="Calibri"/>
      <w:b/>
      <w:sz w:val="24"/>
      <w:szCs w:val="24"/>
    </w:rPr>
  </w:style>
  <w:style w:type="character" w:customStyle="1" w:styleId="podrozdziaZnak">
    <w:name w:val="podrozdział Znak"/>
    <w:basedOn w:val="Domylnaczcionkaakapitu"/>
    <w:link w:val="podrozdzia"/>
    <w:rsid w:val="00B641CC"/>
    <w:rPr>
      <w:rFonts w:ascii="Calibri" w:hAnsi="Calibr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0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72A50-FC8E-432F-9E53-7780F2C8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1313</Words>
  <Characters>8844</Characters>
  <Application>Microsoft Office Word</Application>
  <DocSecurity>4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73 Rektora ZUT z dnia 26 maja 2022 r. w sprawie Polityki zarządzania ryzykiem w Zachodniopomorskim Uniwersytecie Technologicznym w Szczecinie</vt:lpstr>
    </vt:vector>
  </TitlesOfParts>
  <Company>PS</Company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73 Rektora ZUT z dnia 26 maja 2022 r. w sprawie Polityki zarządzania ryzykiem w Zachodniopomorskim Uniwersytecie Technologicznym w Szczecinie</dc:title>
  <dc:subject/>
  <dc:creator>sypek</dc:creator>
  <cp:keywords/>
  <dc:description/>
  <cp:lastModifiedBy>Gabriela Pasturczak</cp:lastModifiedBy>
  <cp:revision>2</cp:revision>
  <cp:lastPrinted>2022-05-13T08:51:00Z</cp:lastPrinted>
  <dcterms:created xsi:type="dcterms:W3CDTF">2022-05-26T10:41:00Z</dcterms:created>
  <dcterms:modified xsi:type="dcterms:W3CDTF">2022-05-26T10:41:00Z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2022-05-26T06:57:56Z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ae504362-8aa2-4033-ab31-c99c2662ac28</vt:lpwstr>
  </property>
  <property fmtid="{D5CDD505-2E9C-101B-9397-08002B2CF9AE}" pid="8" name="MSIP_Label_50945193-57ff-457d-9504-518e9bfb59a9_ContentBits">
    <vt:lpwstr>0</vt:lpwstr>
  </property>
</Properties>
</file>