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822F" w14:textId="734AF038" w:rsidR="00953C6C" w:rsidRPr="00E13E77" w:rsidRDefault="00953C6C" w:rsidP="00953C6C">
      <w:pPr>
        <w:ind w:right="-456"/>
        <w:jc w:val="right"/>
        <w:rPr>
          <w:b w:val="0"/>
          <w:bCs/>
          <w:smallCaps w:val="0"/>
        </w:rPr>
      </w:pPr>
      <w:r>
        <w:rPr>
          <w:b w:val="0"/>
          <w:bCs/>
          <w:smallCaps w:val="0"/>
        </w:rPr>
        <w:t>Załącznik nr 2 do u</w:t>
      </w:r>
      <w:r w:rsidRPr="00E13E77">
        <w:rPr>
          <w:b w:val="0"/>
          <w:bCs/>
          <w:smallCaps w:val="0"/>
        </w:rPr>
        <w:t>chwały nr</w:t>
      </w:r>
      <w:r w:rsidR="003B5983">
        <w:rPr>
          <w:b w:val="0"/>
          <w:bCs/>
          <w:smallCaps w:val="0"/>
        </w:rPr>
        <w:t xml:space="preserve"> 92 </w:t>
      </w:r>
      <w:r w:rsidRPr="00E13E77">
        <w:rPr>
          <w:b w:val="0"/>
          <w:bCs/>
          <w:smallCaps w:val="0"/>
        </w:rPr>
        <w:t xml:space="preserve">Senatu ZUT </w:t>
      </w:r>
      <w:r>
        <w:rPr>
          <w:b w:val="0"/>
          <w:bCs/>
          <w:smallCaps w:val="0"/>
        </w:rPr>
        <w:t>z dnia 25 kwietnia 2022 r.</w:t>
      </w:r>
    </w:p>
    <w:p w14:paraId="6DF917DE" w14:textId="77777777" w:rsidR="00953C6C" w:rsidRPr="003E5CCF" w:rsidRDefault="00953C6C" w:rsidP="00953C6C">
      <w:pPr>
        <w:pStyle w:val="Tytu"/>
        <w:numPr>
          <w:ilvl w:val="0"/>
          <w:numId w:val="0"/>
        </w:numPr>
        <w:rPr>
          <w:lang w:val="en-GB"/>
        </w:rPr>
      </w:pPr>
      <w:r w:rsidRPr="00E25DC7">
        <w:rPr>
          <w:smallCaps w:val="0"/>
          <w:sz w:val="24"/>
        </w:rPr>
        <w:t>Wydzia</w:t>
      </w:r>
      <w:r>
        <w:rPr>
          <w:smallCaps w:val="0"/>
          <w:sz w:val="24"/>
        </w:rPr>
        <w:t>ł Technologii i Inżynierii Chemicznej</w:t>
      </w:r>
      <w:r>
        <w:rPr>
          <w:bCs w:val="0"/>
          <w:smallCaps w:val="0"/>
          <w:sz w:val="24"/>
        </w:rPr>
        <w:t xml:space="preserve">/ </w:t>
      </w:r>
      <w:r w:rsidRPr="00F662AD">
        <w:rPr>
          <w:smallCaps w:val="0"/>
          <w:sz w:val="24"/>
          <w:lang w:val="en-GB"/>
        </w:rPr>
        <w:t>Faculty of Chemical Technology and Engineering</w:t>
      </w:r>
    </w:p>
    <w:p w14:paraId="081594D7" w14:textId="77777777" w:rsidR="00953C6C" w:rsidRPr="00422669" w:rsidRDefault="00953C6C" w:rsidP="00953C6C">
      <w:pPr>
        <w:jc w:val="both"/>
        <w:rPr>
          <w:bCs/>
          <w:smallCaps w:val="0"/>
          <w:sz w:val="24"/>
          <w:szCs w:val="24"/>
        </w:rPr>
      </w:pPr>
      <w:r w:rsidRPr="00422669">
        <w:rPr>
          <w:bCs/>
          <w:smallCaps w:val="0"/>
          <w:sz w:val="24"/>
          <w:szCs w:val="24"/>
        </w:rPr>
        <w:t>Nazwa kierunku studiów/</w:t>
      </w:r>
      <w:r w:rsidRPr="00422669">
        <w:rPr>
          <w:smallCaps w:val="0"/>
          <w:sz w:val="24"/>
          <w:szCs w:val="24"/>
          <w:lang w:val="en-US"/>
        </w:rPr>
        <w:t xml:space="preserve"> </w:t>
      </w:r>
      <w:proofErr w:type="spellStart"/>
      <w:r w:rsidRPr="00422669">
        <w:rPr>
          <w:smallCaps w:val="0"/>
          <w:sz w:val="24"/>
          <w:szCs w:val="24"/>
          <w:lang w:val="en-US"/>
        </w:rPr>
        <w:t>Programme</w:t>
      </w:r>
      <w:proofErr w:type="spellEnd"/>
      <w:r w:rsidRPr="00422669">
        <w:rPr>
          <w:smallCaps w:val="0"/>
          <w:sz w:val="24"/>
          <w:szCs w:val="24"/>
          <w:lang w:val="en-US"/>
        </w:rPr>
        <w:t xml:space="preserve"> of studies</w:t>
      </w:r>
      <w:r w:rsidRPr="00422669">
        <w:rPr>
          <w:bCs/>
          <w:smallCaps w:val="0"/>
          <w:sz w:val="24"/>
          <w:szCs w:val="24"/>
        </w:rPr>
        <w:t xml:space="preserve">: </w:t>
      </w:r>
      <w:proofErr w:type="spellStart"/>
      <w:r w:rsidRPr="00422669">
        <w:rPr>
          <w:bCs/>
          <w:smallCaps w:val="0"/>
          <w:sz w:val="24"/>
          <w:szCs w:val="24"/>
        </w:rPr>
        <w:t>chemical</w:t>
      </w:r>
      <w:proofErr w:type="spellEnd"/>
      <w:r w:rsidRPr="00422669">
        <w:rPr>
          <w:bCs/>
          <w:smallCaps w:val="0"/>
          <w:sz w:val="24"/>
          <w:szCs w:val="24"/>
        </w:rPr>
        <w:t xml:space="preserve"> engineering </w:t>
      </w:r>
    </w:p>
    <w:p w14:paraId="3EFBB2E1" w14:textId="77777777" w:rsidR="00953C6C" w:rsidRPr="00422669" w:rsidRDefault="00953C6C" w:rsidP="00953C6C">
      <w:pPr>
        <w:jc w:val="both"/>
        <w:rPr>
          <w:bCs/>
          <w:smallCaps w:val="0"/>
          <w:sz w:val="24"/>
          <w:szCs w:val="24"/>
        </w:rPr>
      </w:pPr>
      <w:r w:rsidRPr="00422669">
        <w:rPr>
          <w:bCs/>
          <w:smallCaps w:val="0"/>
          <w:sz w:val="24"/>
          <w:szCs w:val="24"/>
        </w:rPr>
        <w:t>Poziom kształcenia/</w:t>
      </w:r>
      <w:r w:rsidRPr="00422669">
        <w:rPr>
          <w:smallCaps w:val="0"/>
          <w:sz w:val="24"/>
          <w:szCs w:val="24"/>
          <w:lang w:val="en-US"/>
        </w:rPr>
        <w:t xml:space="preserve"> Level of qualification</w:t>
      </w:r>
      <w:r w:rsidRPr="00422669">
        <w:rPr>
          <w:bCs/>
          <w:smallCaps w:val="0"/>
          <w:sz w:val="24"/>
          <w:szCs w:val="24"/>
        </w:rPr>
        <w:t xml:space="preserve">: </w:t>
      </w:r>
      <w:r w:rsidRPr="00422669">
        <w:rPr>
          <w:b w:val="0"/>
          <w:bCs/>
          <w:smallCaps w:val="0"/>
          <w:sz w:val="24"/>
          <w:szCs w:val="24"/>
        </w:rPr>
        <w:t>studia drugiego stopnia/</w:t>
      </w:r>
      <w:r w:rsidRPr="00422669">
        <w:rPr>
          <w:b w:val="0"/>
          <w:bCs/>
          <w:smallCaps w:val="0"/>
          <w:sz w:val="24"/>
          <w:szCs w:val="24"/>
          <w:lang w:val="en-US"/>
        </w:rPr>
        <w:t xml:space="preserve"> second cycle studies</w:t>
      </w:r>
    </w:p>
    <w:p w14:paraId="590A331C" w14:textId="77777777" w:rsidR="00953C6C" w:rsidRPr="00422669" w:rsidRDefault="00953C6C" w:rsidP="00953C6C">
      <w:pPr>
        <w:jc w:val="both"/>
        <w:rPr>
          <w:bCs/>
          <w:smallCaps w:val="0"/>
          <w:sz w:val="24"/>
          <w:szCs w:val="24"/>
        </w:rPr>
      </w:pPr>
      <w:r w:rsidRPr="00422669">
        <w:rPr>
          <w:bCs/>
          <w:smallCaps w:val="0"/>
          <w:sz w:val="24"/>
          <w:szCs w:val="24"/>
        </w:rPr>
        <w:t>Profil studiów/</w:t>
      </w:r>
      <w:r w:rsidRPr="00422669">
        <w:rPr>
          <w:smallCaps w:val="0"/>
          <w:sz w:val="24"/>
          <w:szCs w:val="24"/>
          <w:lang w:val="en-GB"/>
        </w:rPr>
        <w:t xml:space="preserve"> Educational profile</w:t>
      </w:r>
      <w:r w:rsidRPr="00422669">
        <w:rPr>
          <w:bCs/>
          <w:smallCaps w:val="0"/>
          <w:sz w:val="24"/>
          <w:szCs w:val="24"/>
        </w:rPr>
        <w:t xml:space="preserve">: </w:t>
      </w:r>
      <w:proofErr w:type="spellStart"/>
      <w:r w:rsidRPr="00422669">
        <w:rPr>
          <w:b w:val="0"/>
          <w:bCs/>
          <w:smallCaps w:val="0"/>
          <w:sz w:val="24"/>
          <w:szCs w:val="24"/>
        </w:rPr>
        <w:t>ogólnoakademickim</w:t>
      </w:r>
      <w:proofErr w:type="spellEnd"/>
      <w:r w:rsidRPr="00422669">
        <w:rPr>
          <w:b w:val="0"/>
          <w:bCs/>
          <w:smallCaps w:val="0"/>
          <w:sz w:val="24"/>
          <w:szCs w:val="24"/>
        </w:rPr>
        <w:t>/</w:t>
      </w:r>
      <w:r w:rsidRPr="00422669">
        <w:rPr>
          <w:b w:val="0"/>
          <w:smallCaps w:val="0"/>
          <w:sz w:val="24"/>
          <w:szCs w:val="24"/>
          <w:lang w:val="en-GB"/>
        </w:rPr>
        <w:t xml:space="preserve"> general academic</w:t>
      </w:r>
    </w:p>
    <w:p w14:paraId="77579D0C" w14:textId="77777777" w:rsidR="00953C6C" w:rsidRPr="00422669" w:rsidRDefault="00953C6C" w:rsidP="00953C6C">
      <w:pPr>
        <w:jc w:val="both"/>
        <w:rPr>
          <w:b w:val="0"/>
          <w:bCs/>
          <w:smallCaps w:val="0"/>
          <w:sz w:val="24"/>
          <w:szCs w:val="24"/>
        </w:rPr>
      </w:pPr>
      <w:r w:rsidRPr="00422669">
        <w:rPr>
          <w:bCs/>
          <w:smallCaps w:val="0"/>
          <w:sz w:val="24"/>
          <w:szCs w:val="24"/>
        </w:rPr>
        <w:t>Dziedzina/</w:t>
      </w:r>
      <w:r w:rsidRPr="00422669">
        <w:rPr>
          <w:bCs/>
          <w:smallCaps w:val="0"/>
          <w:sz w:val="24"/>
          <w:szCs w:val="24"/>
          <w:lang w:val="en-US"/>
        </w:rPr>
        <w:t xml:space="preserve"> Fields of science</w:t>
      </w:r>
      <w:r w:rsidRPr="00422669">
        <w:rPr>
          <w:bCs/>
          <w:smallCaps w:val="0"/>
          <w:sz w:val="24"/>
          <w:szCs w:val="24"/>
        </w:rPr>
        <w:t>:</w:t>
      </w:r>
      <w:r w:rsidRPr="00422669">
        <w:rPr>
          <w:b w:val="0"/>
          <w:bCs/>
          <w:smallCaps w:val="0"/>
          <w:sz w:val="24"/>
          <w:szCs w:val="24"/>
        </w:rPr>
        <w:t xml:space="preserve"> nauk inżynieryjno-technicznych/</w:t>
      </w:r>
      <w:r w:rsidRPr="00422669">
        <w:rPr>
          <w:b w:val="0"/>
          <w:bCs/>
          <w:smallCaps w:val="0"/>
          <w:sz w:val="24"/>
          <w:szCs w:val="24"/>
          <w:lang w:val="en-US"/>
        </w:rPr>
        <w:t xml:space="preserve"> Engineering and technology</w:t>
      </w:r>
    </w:p>
    <w:p w14:paraId="7730DA6E" w14:textId="77777777" w:rsidR="00953C6C" w:rsidRPr="00422669" w:rsidRDefault="00953C6C" w:rsidP="00953C6C">
      <w:pPr>
        <w:jc w:val="both"/>
        <w:rPr>
          <w:b w:val="0"/>
          <w:bCs/>
          <w:smallCaps w:val="0"/>
          <w:sz w:val="24"/>
          <w:szCs w:val="24"/>
        </w:rPr>
      </w:pPr>
      <w:r w:rsidRPr="00422669">
        <w:rPr>
          <w:bCs/>
          <w:smallCaps w:val="0"/>
          <w:sz w:val="24"/>
          <w:szCs w:val="24"/>
        </w:rPr>
        <w:t>Dyscyplina/</w:t>
      </w:r>
      <w:r w:rsidRPr="00422669">
        <w:rPr>
          <w:bCs/>
          <w:smallCaps w:val="0"/>
          <w:sz w:val="24"/>
          <w:szCs w:val="24"/>
          <w:lang w:val="en-US"/>
        </w:rPr>
        <w:t xml:space="preserve"> Discipline of science:</w:t>
      </w:r>
      <w:r w:rsidRPr="00422669">
        <w:rPr>
          <w:b w:val="0"/>
          <w:bCs/>
          <w:smallCaps w:val="0"/>
          <w:sz w:val="24"/>
          <w:szCs w:val="24"/>
        </w:rPr>
        <w:t xml:space="preserve"> inżynieria chemiczna/</w:t>
      </w:r>
      <w:r w:rsidRPr="00422669">
        <w:rPr>
          <w:b w:val="0"/>
          <w:bCs/>
          <w:smallCaps w:val="0"/>
          <w:sz w:val="24"/>
          <w:szCs w:val="24"/>
          <w:lang w:val="en-US"/>
        </w:rPr>
        <w:t xml:space="preserve"> chemical engineering</w:t>
      </w:r>
      <w:r w:rsidRPr="00422669">
        <w:rPr>
          <w:b w:val="0"/>
          <w:bCs/>
          <w:smallCaps w:val="0"/>
          <w:sz w:val="24"/>
          <w:szCs w:val="24"/>
        </w:rPr>
        <w:t xml:space="preserve"> (100%)</w:t>
      </w:r>
    </w:p>
    <w:p w14:paraId="28389E94" w14:textId="77777777" w:rsidR="00953C6C" w:rsidRPr="00422669" w:rsidRDefault="00953C6C" w:rsidP="00953C6C">
      <w:pPr>
        <w:jc w:val="both"/>
        <w:rPr>
          <w:b w:val="0"/>
          <w:bCs/>
          <w:smallCaps w:val="0"/>
          <w:sz w:val="24"/>
          <w:szCs w:val="24"/>
        </w:rPr>
      </w:pPr>
      <w:r w:rsidRPr="00422669">
        <w:rPr>
          <w:bCs/>
          <w:smallCaps w:val="0"/>
          <w:sz w:val="24"/>
          <w:szCs w:val="24"/>
        </w:rPr>
        <w:t>Tytuł zawodowy uzyskiwany przez absolwenta/</w:t>
      </w:r>
      <w:r w:rsidRPr="00422669">
        <w:rPr>
          <w:bCs/>
          <w:smallCaps w:val="0"/>
          <w:sz w:val="24"/>
          <w:szCs w:val="24"/>
          <w:lang w:val="en-US"/>
        </w:rPr>
        <w:t xml:space="preserve"> Name of qualification (Title conferred)</w:t>
      </w:r>
      <w:r w:rsidRPr="00422669">
        <w:rPr>
          <w:bCs/>
          <w:smallCaps w:val="0"/>
          <w:sz w:val="24"/>
          <w:szCs w:val="24"/>
        </w:rPr>
        <w:t>:</w:t>
      </w:r>
      <w:r w:rsidRPr="00422669">
        <w:rPr>
          <w:b w:val="0"/>
          <w:bCs/>
          <w:smallCaps w:val="0"/>
          <w:sz w:val="24"/>
          <w:szCs w:val="24"/>
        </w:rPr>
        <w:t xml:space="preserve"> magister inżynier</w:t>
      </w:r>
    </w:p>
    <w:p w14:paraId="1F286DE8" w14:textId="77777777" w:rsidR="00953C6C" w:rsidRDefault="00953C6C" w:rsidP="00953C6C">
      <w:pPr>
        <w:rPr>
          <w:smallCaps w:val="0"/>
          <w:lang w:val="en-US"/>
        </w:rPr>
      </w:pPr>
    </w:p>
    <w:p w14:paraId="6D0D2476" w14:textId="77777777" w:rsidR="00953C6C" w:rsidRPr="00F662AD" w:rsidRDefault="00953C6C" w:rsidP="00953C6C">
      <w:pPr>
        <w:spacing w:before="360" w:after="120" w:line="312" w:lineRule="auto"/>
        <w:jc w:val="center"/>
        <w:rPr>
          <w:smallCaps w:val="0"/>
          <w:kern w:val="2"/>
          <w:sz w:val="24"/>
          <w:szCs w:val="24"/>
        </w:rPr>
      </w:pPr>
      <w:r w:rsidRPr="00F662AD">
        <w:rPr>
          <w:smallCaps w:val="0"/>
          <w:kern w:val="2"/>
          <w:sz w:val="24"/>
          <w:szCs w:val="24"/>
        </w:rPr>
        <w:t>Opis zakładanych efektów uczenia się</w:t>
      </w:r>
      <w:r>
        <w:rPr>
          <w:smallCaps w:val="0"/>
          <w:kern w:val="2"/>
          <w:sz w:val="24"/>
          <w:szCs w:val="24"/>
        </w:rPr>
        <w:t>/</w:t>
      </w:r>
    </w:p>
    <w:p w14:paraId="2C3CB223" w14:textId="77777777" w:rsidR="00953C6C" w:rsidRPr="00F662AD" w:rsidRDefault="00953C6C" w:rsidP="00953C6C">
      <w:pPr>
        <w:spacing w:before="60" w:line="312" w:lineRule="auto"/>
        <w:jc w:val="center"/>
        <w:rPr>
          <w:smallCaps w:val="0"/>
          <w:sz w:val="24"/>
          <w:szCs w:val="24"/>
          <w:lang w:val="en-US"/>
        </w:rPr>
      </w:pPr>
      <w:r w:rsidRPr="00F662AD">
        <w:rPr>
          <w:smallCaps w:val="0"/>
          <w:sz w:val="24"/>
          <w:szCs w:val="24"/>
          <w:lang w:val="en-US"/>
        </w:rPr>
        <w:t>Description of the planned educational effects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118"/>
        <w:gridCol w:w="1843"/>
        <w:gridCol w:w="2161"/>
      </w:tblGrid>
      <w:tr w:rsidR="00953C6C" w:rsidRPr="00F86055" w14:paraId="1AF5BF0C" w14:textId="77777777" w:rsidTr="006244CC">
        <w:trPr>
          <w:trHeight w:val="1091"/>
        </w:trPr>
        <w:tc>
          <w:tcPr>
            <w:tcW w:w="1690" w:type="dxa"/>
            <w:vAlign w:val="center"/>
          </w:tcPr>
          <w:p w14:paraId="2F8AB884" w14:textId="77777777" w:rsidR="00953C6C" w:rsidRPr="00F662AD" w:rsidRDefault="00953C6C" w:rsidP="006244CC">
            <w:pPr>
              <w:jc w:val="center"/>
              <w:rPr>
                <w:bCs/>
                <w:smallCaps w:val="0"/>
                <w:sz w:val="24"/>
                <w:szCs w:val="24"/>
              </w:rPr>
            </w:pPr>
            <w:r w:rsidRPr="00F662AD">
              <w:rPr>
                <w:bCs/>
                <w:smallCaps w:val="0"/>
                <w:sz w:val="24"/>
                <w:szCs w:val="24"/>
              </w:rPr>
              <w:t>Kod/</w:t>
            </w:r>
            <w:r w:rsidRPr="00F662AD">
              <w:rPr>
                <w:smallCaps w:val="0"/>
                <w:sz w:val="24"/>
                <w:szCs w:val="24"/>
                <w:lang w:val="en-GB"/>
              </w:rPr>
              <w:t xml:space="preserve"> Code</w:t>
            </w:r>
          </w:p>
        </w:tc>
        <w:tc>
          <w:tcPr>
            <w:tcW w:w="9118" w:type="dxa"/>
            <w:vAlign w:val="center"/>
          </w:tcPr>
          <w:p w14:paraId="77D56496" w14:textId="77777777" w:rsidR="00953C6C" w:rsidRDefault="00953C6C" w:rsidP="006244CC">
            <w:pPr>
              <w:jc w:val="center"/>
              <w:rPr>
                <w:bCs/>
                <w:smallCaps w:val="0"/>
                <w:sz w:val="24"/>
                <w:szCs w:val="24"/>
              </w:rPr>
            </w:pPr>
            <w:r w:rsidRPr="00F662AD">
              <w:rPr>
                <w:bCs/>
                <w:smallCaps w:val="0"/>
                <w:sz w:val="24"/>
                <w:szCs w:val="24"/>
              </w:rPr>
              <w:t xml:space="preserve">Efekty uczenia się programu studiów/ </w:t>
            </w:r>
          </w:p>
          <w:p w14:paraId="5080B704" w14:textId="77777777" w:rsidR="00953C6C" w:rsidRPr="00F662AD" w:rsidRDefault="00953C6C" w:rsidP="006244CC">
            <w:pPr>
              <w:jc w:val="center"/>
              <w:rPr>
                <w:bCs/>
                <w:smallCaps w:val="0"/>
                <w:sz w:val="24"/>
                <w:szCs w:val="24"/>
              </w:rPr>
            </w:pPr>
            <w:r w:rsidRPr="00F662AD">
              <w:rPr>
                <w:bCs/>
                <w:smallCaps w:val="0"/>
                <w:sz w:val="24"/>
                <w:szCs w:val="24"/>
                <w:lang w:val="en-GB"/>
              </w:rPr>
              <w:t>Learning outcome for programme of studies</w:t>
            </w:r>
          </w:p>
        </w:tc>
        <w:tc>
          <w:tcPr>
            <w:tcW w:w="1843" w:type="dxa"/>
            <w:vAlign w:val="center"/>
          </w:tcPr>
          <w:p w14:paraId="74F9FD46" w14:textId="77777777" w:rsidR="00953C6C" w:rsidRPr="00F86055" w:rsidRDefault="00953C6C" w:rsidP="006244CC">
            <w:pPr>
              <w:jc w:val="center"/>
              <w:rPr>
                <w:rFonts w:cs="Arial"/>
                <w:bCs/>
                <w:smallCaps w:val="0"/>
                <w:sz w:val="22"/>
                <w:szCs w:val="22"/>
              </w:rPr>
            </w:pPr>
            <w:r w:rsidRPr="00F86055">
              <w:rPr>
                <w:rFonts w:cs="Arial"/>
                <w:bCs/>
                <w:smallCaps w:val="0"/>
                <w:sz w:val="22"/>
                <w:szCs w:val="22"/>
              </w:rPr>
              <w:t>Odniesienie do efektów uczenia się dla kwalifikacji na poziomie 6, 7 lub 8 PRK</w:t>
            </w:r>
          </w:p>
        </w:tc>
        <w:tc>
          <w:tcPr>
            <w:tcW w:w="2161" w:type="dxa"/>
            <w:vAlign w:val="center"/>
          </w:tcPr>
          <w:p w14:paraId="35766B0E" w14:textId="77777777" w:rsidR="00953C6C" w:rsidRPr="00F86055" w:rsidRDefault="00953C6C" w:rsidP="006244CC">
            <w:pPr>
              <w:jc w:val="center"/>
              <w:rPr>
                <w:rFonts w:cs="Arial"/>
                <w:bCs/>
                <w:smallCaps w:val="0"/>
                <w:sz w:val="22"/>
                <w:szCs w:val="22"/>
              </w:rPr>
            </w:pPr>
            <w:r w:rsidRPr="00F86055">
              <w:rPr>
                <w:rFonts w:cs="Arial"/>
                <w:bCs/>
                <w:smallCaps w:val="0"/>
                <w:sz w:val="22"/>
                <w:szCs w:val="22"/>
              </w:rPr>
              <w:t>Odniesienie do efektów uczenia się prowadzących do uzyskania kompetencji inżynierskich</w:t>
            </w:r>
          </w:p>
        </w:tc>
      </w:tr>
      <w:tr w:rsidR="00953C6C" w:rsidRPr="00F86055" w14:paraId="30551C83" w14:textId="77777777" w:rsidTr="006244CC">
        <w:trPr>
          <w:trHeight w:val="567"/>
        </w:trPr>
        <w:tc>
          <w:tcPr>
            <w:tcW w:w="14812" w:type="dxa"/>
            <w:gridSpan w:val="4"/>
            <w:vAlign w:val="center"/>
          </w:tcPr>
          <w:p w14:paraId="60AEE35C" w14:textId="77777777" w:rsidR="00953C6C" w:rsidRPr="00F662AD" w:rsidRDefault="00953C6C" w:rsidP="006244CC">
            <w:pPr>
              <w:jc w:val="center"/>
              <w:rPr>
                <w:rFonts w:cs="Arial"/>
                <w:bCs/>
                <w:smallCaps w:val="0"/>
                <w:sz w:val="24"/>
                <w:szCs w:val="24"/>
              </w:rPr>
            </w:pPr>
            <w:r w:rsidRPr="00F662AD">
              <w:rPr>
                <w:rFonts w:cs="Arial"/>
                <w:bCs/>
                <w:smallCaps w:val="0"/>
                <w:sz w:val="24"/>
                <w:szCs w:val="24"/>
              </w:rPr>
              <w:t>Wiedza/</w:t>
            </w:r>
            <w:r w:rsidRPr="00F662AD">
              <w:rPr>
                <w:smallCaps w:val="0"/>
                <w:noProof/>
                <w:sz w:val="24"/>
                <w:szCs w:val="24"/>
                <w:lang w:val="en-GB"/>
              </w:rPr>
              <w:t xml:space="preserve"> Knowledge</w:t>
            </w:r>
          </w:p>
        </w:tc>
      </w:tr>
      <w:tr w:rsidR="00953C6C" w:rsidRPr="00DA7CE4" w14:paraId="73FA100A" w14:textId="77777777" w:rsidTr="006244CC">
        <w:trPr>
          <w:trHeight w:val="68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8A22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ChEn_2A_W01</w:t>
            </w:r>
          </w:p>
        </w:tc>
        <w:tc>
          <w:tcPr>
            <w:tcW w:w="9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0B32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has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in-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depth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field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including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appropriate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selection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materials,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raw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materials,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methods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techniques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equipment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devices for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implementation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biochemical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characterization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raw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materials and products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obtained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7CFD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P7S_WG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F19E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P7S_WG</w:t>
            </w:r>
          </w:p>
        </w:tc>
      </w:tr>
      <w:tr w:rsidR="00953C6C" w:rsidRPr="00DA7CE4" w14:paraId="516D7B1F" w14:textId="77777777" w:rsidTr="006244CC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4113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ChEn_2A_W02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500B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has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extended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deep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necessary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for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planning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designing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scaling-up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technological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industrial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well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planning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experiments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elaborating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results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experimental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research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7D2D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169E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68AEA609" w14:textId="77777777" w:rsidTr="006244CC">
        <w:trPr>
          <w:trHeight w:val="56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384A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ChEn_2A_W03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5B88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has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deep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theoretical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background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related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catalysis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alternative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enhanced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techniques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biochemical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well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instrumental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analytical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methods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applied in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engineering.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3291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CD6D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6A17C7C2" w14:textId="77777777" w:rsidTr="006244CC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A680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ChEn_2A_W04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4050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has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broadened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deep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about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modern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green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material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technologies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including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advanced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materials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nanomaterials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technologies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well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current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trends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development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industrial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FF4C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F654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0AA3D37D" w14:textId="77777777" w:rsidTr="006244CC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561D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ChEn_2A_W05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5AF3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has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expanded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field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environmental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protection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sustainable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engineering,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including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environmental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risks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dilemmas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related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lastRenderedPageBreak/>
              <w:t>implementation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industrial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well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rules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occupational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health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safety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C989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lastRenderedPageBreak/>
              <w:t>P7S_WG P7S_WK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5B86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P7S_WG</w:t>
            </w:r>
          </w:p>
        </w:tc>
      </w:tr>
      <w:tr w:rsidR="00953C6C" w:rsidRPr="00DA7CE4" w14:paraId="12A8B6A0" w14:textId="77777777" w:rsidTr="006244CC">
        <w:trPr>
          <w:trHeight w:val="72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118A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ChEn_2A_W06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BEA3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has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extensive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entrepreneurship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management,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including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quality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management.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5573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P7S_WG P7S_WK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D546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P7S_WK</w:t>
            </w:r>
          </w:p>
        </w:tc>
      </w:tr>
      <w:tr w:rsidR="00953C6C" w:rsidRPr="00DA7CE4" w14:paraId="0443E2D6" w14:textId="77777777" w:rsidTr="006244CC">
        <w:trPr>
          <w:trHeight w:val="71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C395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ChEn_2A_W07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1274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has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established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legal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ethical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conditions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professional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activities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related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engineering,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including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principles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industrial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property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copyright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protection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D890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P7S_WK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DFC8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F86055" w14:paraId="356C9121" w14:textId="77777777" w:rsidTr="006244CC">
        <w:trPr>
          <w:trHeight w:val="510"/>
        </w:trPr>
        <w:tc>
          <w:tcPr>
            <w:tcW w:w="14812" w:type="dxa"/>
            <w:gridSpan w:val="4"/>
            <w:vAlign w:val="center"/>
          </w:tcPr>
          <w:p w14:paraId="3B61E3CA" w14:textId="77777777" w:rsidR="00953C6C" w:rsidRPr="006E4B29" w:rsidRDefault="00953C6C" w:rsidP="006244CC">
            <w:pPr>
              <w:jc w:val="center"/>
              <w:rPr>
                <w:rFonts w:cs="Arial"/>
                <w:smallCaps w:val="0"/>
                <w:sz w:val="24"/>
                <w:szCs w:val="24"/>
              </w:rPr>
            </w:pPr>
            <w:r w:rsidRPr="006E4B29">
              <w:rPr>
                <w:rFonts w:cs="Arial"/>
                <w:smallCaps w:val="0"/>
                <w:sz w:val="24"/>
                <w:szCs w:val="24"/>
              </w:rPr>
              <w:t>Umiejętności/</w:t>
            </w:r>
            <w:r w:rsidRPr="006E4B29">
              <w:rPr>
                <w:smallCaps w:val="0"/>
                <w:noProof/>
                <w:sz w:val="24"/>
                <w:szCs w:val="24"/>
                <w:lang w:val="en-GB"/>
              </w:rPr>
              <w:t xml:space="preserve"> Skills</w:t>
            </w:r>
          </w:p>
        </w:tc>
      </w:tr>
      <w:tr w:rsidR="00953C6C" w:rsidRPr="00DA7CE4" w14:paraId="69C91E22" w14:textId="77777777" w:rsidTr="006244CC">
        <w:trPr>
          <w:trHeight w:val="11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632D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ChEn_2A_U01</w:t>
            </w:r>
          </w:p>
        </w:tc>
        <w:tc>
          <w:tcPr>
            <w:tcW w:w="9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7410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utilize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in-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depth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field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including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appropriate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selection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materials,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raw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materials,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methods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techniques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equipment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devices for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implementation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biochemical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characterization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raw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materials and products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obtained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64ED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AD24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</w:tr>
      <w:tr w:rsidR="00953C6C" w:rsidRPr="00DA7CE4" w14:paraId="5FF95ECC" w14:textId="77777777" w:rsidTr="006244CC">
        <w:trPr>
          <w:trHeight w:val="56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F94F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ChEn_2A_U02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2850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use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extended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deep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necessary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for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planning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designing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scaling-up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technological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industrial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well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planning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experiments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elaborating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results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experimental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research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4C05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362F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7646709F" w14:textId="77777777" w:rsidTr="006244CC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9B03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ChEn_2A_U03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B94E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use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broadened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deep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about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modern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green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material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technologies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well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current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trends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development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industrial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9883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B5C1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</w:tr>
      <w:tr w:rsidR="00953C6C" w:rsidRPr="00DA7CE4" w14:paraId="0E9032C7" w14:textId="77777777" w:rsidTr="006244CC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76DB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ChEn_2A_U04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6308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use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expanded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field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environmental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protection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sustainable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engineering,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including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assessment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environmental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risks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related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implementation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industrial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21F2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F3F2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3CC78508" w14:textId="77777777" w:rsidTr="006244CC">
        <w:trPr>
          <w:trHeight w:val="703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C80C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ChEn_2A_U05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4055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make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verify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hypotheses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related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simple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research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problems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041F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1438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4FC9ECF6" w14:textId="77777777" w:rsidTr="006244CC">
        <w:trPr>
          <w:trHeight w:val="1234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51D5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ChEn_2A_U06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E9F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analyse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solve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complex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problems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related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technology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process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engineering on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basis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specialist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bibliographic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resources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databases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other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sources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6639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7817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</w:tr>
      <w:tr w:rsidR="00953C6C" w:rsidRPr="00DA7CE4" w14:paraId="61918358" w14:textId="77777777" w:rsidTr="006244CC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74B5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ChEn_2A_U07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0757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has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ability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acquire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critically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evaluate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information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from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bibliographic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resources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databases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other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sources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use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them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a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creative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way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interpret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present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selected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information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opinions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reports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684E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27B1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60350723" w14:textId="77777777" w:rsidTr="006244CC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C334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ChEn_2A_U08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5B83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apply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principles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occupational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health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safety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laboratory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7E36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E4B6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20804E06" w14:textId="77777777" w:rsidTr="006244CC">
        <w:trPr>
          <w:trHeight w:val="679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AEA4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lastRenderedPageBreak/>
              <w:t>ChEn_2A_U09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BD1F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communicate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with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specialists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non-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specialists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using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specialized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terminology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field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engineering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well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conduct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scientific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discussion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-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present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evaluate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various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opinions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positions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0555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7B21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6DFF7B1B" w14:textId="77777777" w:rsidTr="006244CC">
        <w:trPr>
          <w:trHeight w:val="878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F605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ChEn_2A_U10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26B5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communicate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foreign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language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(English)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B2+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level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Common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European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Framework of Reference for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Languages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(CEFR),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also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field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specialized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terminology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related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chemical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engineering.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E890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AAFE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473114EE" w14:textId="77777777" w:rsidTr="006244CC">
        <w:trPr>
          <w:trHeight w:val="89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BAC8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ChEn_2A_U11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9427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plan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own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work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organize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team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work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including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cooperation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with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other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people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taking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leading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role in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teams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or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managing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work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the team.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5BA3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P7S_UO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29EC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3CFAB4A3" w14:textId="77777777" w:rsidTr="006244CC">
        <w:trPr>
          <w:trHeight w:val="1191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D244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ChEn_2A_U12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5272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able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independently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plan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implement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his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own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lifelong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learning and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guide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others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this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area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ADCA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P7S_UU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F813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F86055" w14:paraId="450A1350" w14:textId="77777777" w:rsidTr="006244CC">
        <w:trPr>
          <w:trHeight w:val="510"/>
        </w:trPr>
        <w:tc>
          <w:tcPr>
            <w:tcW w:w="14812" w:type="dxa"/>
            <w:gridSpan w:val="4"/>
            <w:vAlign w:val="center"/>
          </w:tcPr>
          <w:p w14:paraId="78F0B2D8" w14:textId="77777777" w:rsidR="00953C6C" w:rsidRPr="00F662AD" w:rsidRDefault="00953C6C" w:rsidP="006244CC">
            <w:pPr>
              <w:jc w:val="center"/>
              <w:rPr>
                <w:smallCaps w:val="0"/>
                <w:sz w:val="24"/>
                <w:szCs w:val="24"/>
              </w:rPr>
            </w:pPr>
            <w:r w:rsidRPr="00F662AD">
              <w:rPr>
                <w:smallCaps w:val="0"/>
                <w:sz w:val="24"/>
                <w:szCs w:val="24"/>
              </w:rPr>
              <w:t>Kompetencje społeczne/</w:t>
            </w:r>
            <w:r w:rsidRPr="00F662AD">
              <w:rPr>
                <w:smallCaps w:val="0"/>
                <w:noProof/>
                <w:sz w:val="24"/>
                <w:szCs w:val="24"/>
                <w:lang w:val="en-GB"/>
              </w:rPr>
              <w:t xml:space="preserve"> Social competences</w:t>
            </w:r>
          </w:p>
        </w:tc>
      </w:tr>
      <w:tr w:rsidR="00953C6C" w:rsidRPr="00DA7CE4" w14:paraId="66492044" w14:textId="77777777" w:rsidTr="006244CC">
        <w:trPr>
          <w:trHeight w:val="68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ADDE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ChEn_2A_K01</w:t>
            </w:r>
          </w:p>
        </w:tc>
        <w:tc>
          <w:tcPr>
            <w:tcW w:w="9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F443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ready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critical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assessment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own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received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information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understands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need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for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lifelong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learning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professional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development.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ADA4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P7S_KK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5DCB" w14:textId="77777777" w:rsidR="00953C6C" w:rsidRPr="00305A64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305A64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73EE4BCA" w14:textId="77777777" w:rsidTr="006244CC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C3A5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ChEn_2A_K02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5CD9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aware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importance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knowledge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solving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cognitive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practical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problems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ready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consult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experts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case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difficult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problems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A463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P7S_KK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1C3E" w14:textId="77777777" w:rsidR="00953C6C" w:rsidRPr="00305A64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305A64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2C920DAD" w14:textId="77777777" w:rsidTr="006244CC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84D0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ChEn_2A_K03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DFED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ready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think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act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in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entrepreneurial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manner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well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as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fulfil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social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obligations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inspire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organise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activities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for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social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community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initiate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actions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serving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public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interest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including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care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natural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environment.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6211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P7S_KO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C6EB" w14:textId="77777777" w:rsidR="00953C6C" w:rsidRPr="00305A64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305A64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953C6C" w:rsidRPr="00DA7CE4" w14:paraId="6EEBAD91" w14:textId="77777777" w:rsidTr="006244CC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61B6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ChEn_2A_K04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8857" w14:textId="77777777" w:rsidR="00953C6C" w:rsidRPr="009E42B7" w:rsidRDefault="00953C6C" w:rsidP="006244CC">
            <w:pPr>
              <w:rPr>
                <w:rFonts w:cs="Arial"/>
                <w:b w:val="0"/>
                <w:smallCaps w:val="0"/>
                <w:sz w:val="24"/>
              </w:rPr>
            </w:pP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Graduate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ready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to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responsibly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perform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professional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functions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taking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into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account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changing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social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needs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promote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develop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the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principles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professional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ethics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, a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culture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of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quality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 xml:space="preserve"> and </w:t>
            </w:r>
            <w:proofErr w:type="spellStart"/>
            <w:r w:rsidRPr="009E42B7">
              <w:rPr>
                <w:rFonts w:cs="Arial"/>
                <w:b w:val="0"/>
                <w:smallCaps w:val="0"/>
                <w:sz w:val="24"/>
              </w:rPr>
              <w:t>cooperation</w:t>
            </w:r>
            <w:proofErr w:type="spellEnd"/>
            <w:r w:rsidRPr="009E42B7">
              <w:rPr>
                <w:rFonts w:cs="Arial"/>
                <w:b w:val="0"/>
                <w:smallCaps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49F2" w14:textId="77777777" w:rsidR="00953C6C" w:rsidRPr="009E42B7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9E42B7">
              <w:rPr>
                <w:rFonts w:cs="Arial"/>
                <w:b w:val="0"/>
                <w:smallCaps w:val="0"/>
                <w:sz w:val="24"/>
              </w:rPr>
              <w:t>P7S_KR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A8AC" w14:textId="77777777" w:rsidR="00953C6C" w:rsidRPr="00305A64" w:rsidRDefault="00953C6C" w:rsidP="006244CC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305A64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</w:tbl>
    <w:p w14:paraId="626E80C5" w14:textId="77777777" w:rsidR="00953C6C" w:rsidRDefault="00953C6C" w:rsidP="00953C6C"/>
    <w:p w14:paraId="6CD122E2" w14:textId="77777777" w:rsidR="00912E24" w:rsidRDefault="00912E24"/>
    <w:sectPr w:rsidR="00912E24" w:rsidSect="00953C6C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6C"/>
    <w:rsid w:val="0035145D"/>
    <w:rsid w:val="003B5983"/>
    <w:rsid w:val="00912E24"/>
    <w:rsid w:val="00953C6C"/>
    <w:rsid w:val="00D759D6"/>
    <w:rsid w:val="00F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AC73"/>
  <w15:chartTrackingRefBased/>
  <w15:docId w15:val="{FDA85056-9CC4-472C-AAC3-C3F781BB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C6C"/>
    <w:pPr>
      <w:spacing w:after="0" w:line="240" w:lineRule="auto"/>
      <w:ind w:left="0" w:firstLine="0"/>
      <w:jc w:val="left"/>
    </w:pPr>
    <w:rPr>
      <w:rFonts w:eastAsia="Times New Roman" w:cs="Times New Roman"/>
      <w:b/>
      <w:smallCap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outlineLvl w:val="0"/>
    </w:pPr>
    <w:rPr>
      <w:rFonts w:eastAsiaTheme="majorEastAsia" w:cstheme="majorBidi"/>
      <w:b w:val="0"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link w:val="TytuZnak"/>
    <w:uiPriority w:val="99"/>
    <w:qFormat/>
    <w:rsid w:val="00953C6C"/>
    <w:pPr>
      <w:numPr>
        <w:numId w:val="1"/>
      </w:numPr>
      <w:spacing w:before="240" w:after="60"/>
      <w:outlineLvl w:val="0"/>
    </w:pPr>
    <w:rPr>
      <w:rFonts w:cs="Arial"/>
      <w:b w:val="0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53C6C"/>
    <w:rPr>
      <w:rFonts w:eastAsia="Times New Roman" w:cs="Arial"/>
      <w:bCs/>
      <w:smallCaps/>
      <w:kern w:val="28"/>
      <w:sz w:val="20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5401</Characters>
  <Application>Microsoft Office Word</Application>
  <DocSecurity>4</DocSecurity>
  <Lines>45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cp:keywords/>
  <dc:description/>
  <cp:lastModifiedBy>Magdalena Szymanowska</cp:lastModifiedBy>
  <cp:revision>2</cp:revision>
  <dcterms:created xsi:type="dcterms:W3CDTF">2022-04-25T11:08:00Z</dcterms:created>
  <dcterms:modified xsi:type="dcterms:W3CDTF">2022-04-25T11:08:00Z</dcterms:modified>
</cp:coreProperties>
</file>