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816D" w14:textId="513F35A7" w:rsidR="0058401E" w:rsidRPr="00E13E77" w:rsidRDefault="0058401E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nr </w:t>
      </w:r>
      <w:r w:rsidR="009E0EAC">
        <w:rPr>
          <w:b w:val="0"/>
          <w:bCs/>
          <w:smallCaps w:val="0"/>
        </w:rPr>
        <w:t>2</w:t>
      </w:r>
      <w:r>
        <w:rPr>
          <w:b w:val="0"/>
          <w:bCs/>
          <w:smallCaps w:val="0"/>
        </w:rPr>
        <w:t xml:space="preserve"> do u</w:t>
      </w:r>
      <w:r w:rsidRPr="00E13E77">
        <w:rPr>
          <w:b w:val="0"/>
          <w:bCs/>
          <w:smallCaps w:val="0"/>
        </w:rPr>
        <w:t xml:space="preserve">chwały nr </w:t>
      </w:r>
      <w:r w:rsidR="00024B12">
        <w:rPr>
          <w:b w:val="0"/>
          <w:bCs/>
          <w:smallCaps w:val="0"/>
        </w:rPr>
        <w:t>8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 xml:space="preserve">z dnia </w:t>
      </w:r>
      <w:r w:rsidR="009E0EAC">
        <w:rPr>
          <w:b w:val="0"/>
          <w:bCs/>
          <w:smallCaps w:val="0"/>
        </w:rPr>
        <w:t>25 stycznia</w:t>
      </w:r>
      <w:r>
        <w:rPr>
          <w:b w:val="0"/>
          <w:bCs/>
          <w:smallCaps w:val="0"/>
        </w:rPr>
        <w:t xml:space="preserve"> 20</w:t>
      </w:r>
      <w:r w:rsidR="0075064A">
        <w:rPr>
          <w:b w:val="0"/>
          <w:bCs/>
          <w:smallCaps w:val="0"/>
        </w:rPr>
        <w:t>2</w:t>
      </w:r>
      <w:r w:rsidR="009E0EAC">
        <w:rPr>
          <w:b w:val="0"/>
          <w:bCs/>
          <w:smallCaps w:val="0"/>
        </w:rPr>
        <w:t>1</w:t>
      </w:r>
      <w:r>
        <w:rPr>
          <w:b w:val="0"/>
          <w:bCs/>
          <w:smallCaps w:val="0"/>
        </w:rPr>
        <w:t xml:space="preserve"> r.</w:t>
      </w:r>
    </w:p>
    <w:p w14:paraId="486C02FF" w14:textId="77777777" w:rsidR="0058401E" w:rsidRPr="00E25DC7" w:rsidRDefault="0058401E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Technologii i Inżynierii Chemicznej </w:t>
      </w:r>
    </w:p>
    <w:p w14:paraId="72BBC6A7" w14:textId="77777777"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9E0EAC" w:rsidRPr="00556944">
        <w:rPr>
          <w:bCs/>
          <w:i/>
          <w:smallCaps w:val="0"/>
          <w:sz w:val="24"/>
          <w:szCs w:val="24"/>
        </w:rPr>
        <w:t>Materials Science and Engineering</w:t>
      </w:r>
    </w:p>
    <w:p w14:paraId="28C0E297" w14:textId="77777777"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 xml:space="preserve">ia </w:t>
      </w:r>
      <w:r w:rsidR="009E0EAC">
        <w:rPr>
          <w:b w:val="0"/>
          <w:bCs/>
          <w:smallCaps w:val="0"/>
          <w:sz w:val="24"/>
        </w:rPr>
        <w:t>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0AC18051" w14:textId="77777777" w:rsidR="0058401E" w:rsidRPr="00E25DC7" w:rsidRDefault="0058401E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14:paraId="3C646583" w14:textId="77777777"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</w:t>
      </w:r>
      <w:proofErr w:type="spellStart"/>
      <w:r>
        <w:rPr>
          <w:b w:val="0"/>
          <w:bCs/>
          <w:smallCaps w:val="0"/>
          <w:sz w:val="24"/>
        </w:rPr>
        <w:t>inżynieryjno</w:t>
      </w:r>
      <w:proofErr w:type="spellEnd"/>
      <w:r>
        <w:rPr>
          <w:b w:val="0"/>
          <w:bCs/>
          <w:smallCaps w:val="0"/>
          <w:sz w:val="24"/>
        </w:rPr>
        <w:t xml:space="preserve"> - technicznych</w:t>
      </w:r>
    </w:p>
    <w:p w14:paraId="7297345E" w14:textId="77777777"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</w:t>
      </w:r>
      <w:r w:rsidR="009E0EAC">
        <w:rPr>
          <w:b w:val="0"/>
          <w:bCs/>
          <w:smallCaps w:val="0"/>
          <w:sz w:val="24"/>
        </w:rPr>
        <w:t>materiałowa</w:t>
      </w:r>
      <w:r>
        <w:rPr>
          <w:b w:val="0"/>
          <w:bCs/>
          <w:smallCaps w:val="0"/>
          <w:sz w:val="24"/>
        </w:rPr>
        <w:t xml:space="preserve"> (100%)</w:t>
      </w:r>
    </w:p>
    <w:p w14:paraId="2DC0FBED" w14:textId="77777777" w:rsidR="0058401E" w:rsidRPr="00E25DC7" w:rsidRDefault="0058401E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14:paraId="5F8D7DA6" w14:textId="77777777" w:rsidR="0058401E" w:rsidRPr="00905038" w:rsidRDefault="0058401E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58401E" w:rsidRPr="00F86055" w14:paraId="508A5E47" w14:textId="77777777" w:rsidTr="00811665">
        <w:trPr>
          <w:trHeight w:val="1091"/>
        </w:trPr>
        <w:tc>
          <w:tcPr>
            <w:tcW w:w="1690" w:type="dxa"/>
            <w:vAlign w:val="center"/>
          </w:tcPr>
          <w:p w14:paraId="521A3F3E" w14:textId="77777777" w:rsidR="0058401E" w:rsidRPr="00F86055" w:rsidRDefault="0058401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14:paraId="53F9039D" w14:textId="77777777" w:rsidR="0058401E" w:rsidRPr="00F86055" w:rsidRDefault="0058401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14:paraId="130C92ED" w14:textId="77777777" w:rsidR="0058401E" w:rsidRPr="00F86055" w:rsidRDefault="0058401E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14:paraId="646D4F5C" w14:textId="77777777" w:rsidR="0058401E" w:rsidRPr="00F86055" w:rsidRDefault="0058401E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58401E" w:rsidRPr="00F86055" w14:paraId="768D00C7" w14:textId="77777777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14:paraId="674FAC2C" w14:textId="77777777" w:rsidR="0058401E" w:rsidRPr="00F86055" w:rsidRDefault="0058401E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9E0EAC" w:rsidRPr="00DA7CE4" w14:paraId="6541907D" w14:textId="77777777" w:rsidTr="008A4086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C89B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MSE_1A_W01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B4F5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selected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issues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in the field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mathematical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analysis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issues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in the field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elements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logic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elements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algebra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linear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algebra,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mathematical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statistics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allowing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understand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describe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model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physicochemical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phenomena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occuring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in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different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materials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DBE4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9F36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9E0EAC" w:rsidRPr="00DA7CE4" w14:paraId="787E89BA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FC41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MSE_1A_W02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1239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selected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issues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from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physics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biology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chemistry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necessary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describe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properties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materials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processes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accompanying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their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production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processing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9C88F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FE41B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9E0EAC" w:rsidRPr="00DA7CE4" w14:paraId="39561152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A9AF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MSE_1A_W03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593E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selected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issues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concerning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structure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materials,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thier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synthesis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processing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structure-properties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relationship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81FC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4796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9E0EAC" w:rsidRPr="00DA7CE4" w14:paraId="27D0E9E9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581F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MSE_1A_W04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753A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understands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application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potential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various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materials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1559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EB19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E0EAC" w:rsidRPr="00DA7CE4" w14:paraId="3B97EAFC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6298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MSE_1A_W05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179D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principles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design,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modelling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simulation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understands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principles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methods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research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tools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techniques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(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including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information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technology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)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used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solve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simple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engineering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tasks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in materials engineering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DD4A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585D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E0EAC" w:rsidRPr="00DA7CE4" w14:paraId="58ECD1DA" w14:textId="77777777" w:rsidTr="008A4086">
        <w:trPr>
          <w:trHeight w:val="72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A17C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MSE_1A_W06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E705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methods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structure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characterization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properties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evaluation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materials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5D8B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7637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E0EAC" w:rsidRPr="00DA7CE4" w14:paraId="5C404D67" w14:textId="77777777" w:rsidTr="008A4086">
        <w:trPr>
          <w:trHeight w:val="715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890A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lastRenderedPageBreak/>
              <w:t>MSE_1A_W07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50D3D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understands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principles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functioning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operations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systems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apparatus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technological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equipment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with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instrumentation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especially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in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context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manufacturing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processing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materials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B75F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AC06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9E0EAC" w:rsidRPr="00DA7CE4" w14:paraId="249AB6D6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3F90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MSE_1A_W08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344F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understands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concepts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associated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with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quality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management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regulations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068A1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CF97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E0EAC" w:rsidRPr="00DA7CE4" w14:paraId="19D55D75" w14:textId="77777777" w:rsidTr="008A408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078E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MSE_1A_W09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CE4A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principles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occupational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health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safety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rational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use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materials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E8D0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5E0A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E0EAC" w:rsidRPr="00DA7CE4" w14:paraId="09832C81" w14:textId="77777777" w:rsidTr="008A408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1158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MSE_1A_W10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2D85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understands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fundamental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dilemmas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modern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civilization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economic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legal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other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conditions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various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types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professional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activities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related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materials engineering,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including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concepts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principles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industrial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property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copyright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protection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04E9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1DF5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9E0EAC" w:rsidRPr="00DA7CE4" w14:paraId="46FC95AD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F04F1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MSE_1A_W11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4E3E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general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principles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creating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developing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various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forms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individual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entrepreneurship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7F50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CAEB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F86055" w14:paraId="1CED05DA" w14:textId="77777777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14:paraId="6306F4DF" w14:textId="77777777" w:rsidR="0058401E" w:rsidRPr="00F86055" w:rsidRDefault="0058401E" w:rsidP="002378D2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9E0EAC" w:rsidRPr="00DA7CE4" w14:paraId="3072C39E" w14:textId="77777777" w:rsidTr="009B0140">
        <w:trPr>
          <w:trHeight w:val="11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32D1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MSE_1A_U01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65BA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being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use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acquired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related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the engineering of materials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formulate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solve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comples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unusual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engineering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tasks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with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respect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to:</w:t>
            </w:r>
            <w:r w:rsidRPr="009E0EAC">
              <w:rPr>
                <w:rFonts w:cs="Arial"/>
                <w:b w:val="0"/>
                <w:smallCaps w:val="0"/>
                <w:sz w:val="24"/>
              </w:rPr>
              <w:br/>
              <w:t xml:space="preserve">-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proper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selection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sources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information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assessment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critical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analysis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synthesis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this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information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>,</w:t>
            </w:r>
            <w:r w:rsidRPr="009E0EAC">
              <w:rPr>
                <w:rFonts w:cs="Arial"/>
                <w:b w:val="0"/>
                <w:smallCaps w:val="0"/>
                <w:sz w:val="24"/>
              </w:rPr>
              <w:br/>
              <w:t xml:space="preserve">-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selection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application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appropriate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methods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tools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including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advanced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information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communication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techniques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5655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B27B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9E0EAC" w:rsidRPr="00DA7CE4" w14:paraId="74E547A0" w14:textId="77777777" w:rsidTr="009B0140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614F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MSE_1A_U02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F688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being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use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learned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mathematical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apparatus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describe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analyze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experimental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data,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physicochemical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technical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issues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8949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931B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E0EAC" w:rsidRPr="00DA7CE4" w14:paraId="49505FE6" w14:textId="77777777" w:rsidTr="009B0140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9B6A5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MSE_1A_U03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929B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being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use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principles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methods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chemistry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biology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physics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materials engineering in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planning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conducting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experiments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interpret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elaborate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results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draw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conclusions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54D20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B889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9E0EAC" w:rsidRPr="00DA7CE4" w14:paraId="7C59165A" w14:textId="77777777" w:rsidTr="009B0140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C569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MSE_1A_U04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1123A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can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speak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foreign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language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 (English)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at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B2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European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level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Common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European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Framework of Reference for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Languages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270B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A105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E0EAC" w:rsidRPr="00DA7CE4" w14:paraId="5D621F80" w14:textId="77777777" w:rsidTr="009B0140">
        <w:trPr>
          <w:trHeight w:val="703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7D39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MSE_1A_U05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FB75E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being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use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specialized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computer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software for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designing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modelling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computer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simulation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selected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issues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typical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for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filed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study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6BD0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E7AA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9E0EAC" w:rsidRPr="00DA7CE4" w14:paraId="7E7FCE79" w14:textId="77777777" w:rsidTr="009B0140">
        <w:trPr>
          <w:trHeight w:val="123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5AED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MSE_1A_U06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FF61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being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perceive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systemic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non-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technical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aspects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including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environmental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economic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ethical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aspects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implementing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specific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technical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solutions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principles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accupational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health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safety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F870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D67A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9E0EAC" w:rsidRPr="00DA7CE4" w14:paraId="6F934930" w14:textId="77777777" w:rsidTr="009B0140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F517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lastRenderedPageBreak/>
              <w:t>MSE_1A_U07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73404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being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reveal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characterize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structure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determine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properties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various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materials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744A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1806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9E0EAC" w:rsidRPr="00DA7CE4" w14:paraId="10C68187" w14:textId="77777777" w:rsidTr="009B0140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9A52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MSE_1A_U08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F436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being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plan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execute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processes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manufacturing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selected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materials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8CD7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F583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9E0EAC" w:rsidRPr="00DA7CE4" w14:paraId="646BB47A" w14:textId="77777777" w:rsidTr="009B0140">
        <w:trPr>
          <w:trHeight w:val="679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D0D7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MSE_1A_U09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95CE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critically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analyze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elavuate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existing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technical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solutions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in the field of materials science and engineering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E789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5B99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E0EAC" w:rsidRPr="00DA7CE4" w14:paraId="131C6260" w14:textId="77777777" w:rsidTr="009B0140">
        <w:trPr>
          <w:trHeight w:val="878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997E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MSE_1A_U10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4333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carry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out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interdisciplinary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design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work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DFDC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B6B6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E0EAC" w:rsidRPr="00DA7CE4" w14:paraId="05CAF8F6" w14:textId="77777777" w:rsidTr="009B0140">
        <w:trPr>
          <w:trHeight w:val="895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BE4A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MSE_1A_U11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E651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can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communicate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using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specialist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terminology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in the field of materials engineering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can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take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part in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debale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-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present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evaluate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discuss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various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opinions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positions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6533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4312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E0EAC" w:rsidRPr="00DA7CE4" w14:paraId="5924F6DC" w14:textId="77777777" w:rsidTr="009B0140">
        <w:trPr>
          <w:trHeight w:val="119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ACAA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MSE_1A_U12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D18C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plan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organize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work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both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individually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as a team,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interact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with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other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people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as part of a team (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also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interdisciplinary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nature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AEE5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4229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E0EAC" w:rsidRPr="00DA7CE4" w14:paraId="450BC28A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3933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MSE_1A_U13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4D38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plan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implement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his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>/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her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own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life-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long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learning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2233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FBF5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F86055" w14:paraId="14BF8989" w14:textId="77777777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14:paraId="6F330E7B" w14:textId="77777777" w:rsidR="0058401E" w:rsidRPr="00F86055" w:rsidRDefault="0058401E" w:rsidP="002378D2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9E0EAC" w:rsidRPr="00DA7CE4" w14:paraId="3CEFBABA" w14:textId="77777777" w:rsidTr="00616FEF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0232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MSE_1A_K01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CFF32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critically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assess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content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received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027F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79A1B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9E0EAC" w:rsidRPr="00DA7CE4" w14:paraId="78679FDF" w14:textId="77777777" w:rsidTr="00616FEF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3EE5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MSE_1A_K02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C26B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acknowledges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importance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in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solving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cognitive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practical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problems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consult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with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experts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if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it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difficult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solve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problem on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its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own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3392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6ACA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9E0EAC" w:rsidRPr="00DA7CE4" w14:paraId="663F5E88" w14:textId="77777777" w:rsidTr="00616FEF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1BB5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MSE_1A_K03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C59A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ready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fulfill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social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obligations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>, to co-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organize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activities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for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social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environment,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initiate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activities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for the public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interest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thinking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acting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in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entrepreneurial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manner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460F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B897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9E0EAC" w:rsidRPr="00DA7CE4" w14:paraId="1CCF8704" w14:textId="77777777" w:rsidTr="00616FEF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73E7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MSE_1A_K04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3F5C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ready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perform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professional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roles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responsibility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including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adherence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to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rules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professional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ethics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requiring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this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from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others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,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care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for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achievements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traditions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profession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4691D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C53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E0EAC" w:rsidRPr="00DA7CE4" w14:paraId="717EFAAF" w14:textId="77777777" w:rsidTr="00616FEF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5408" w14:textId="77777777" w:rsidR="009E0EAC" w:rsidRPr="009E0EAC" w:rsidRDefault="009E0EAC" w:rsidP="009E0EA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MSE_1A_K05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9DDB" w14:textId="77777777" w:rsidR="009E0EAC" w:rsidRPr="009E0EAC" w:rsidRDefault="009E0EAC" w:rsidP="009E0EAC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understands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application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9E0EAC">
              <w:rPr>
                <w:rFonts w:cs="Arial"/>
                <w:b w:val="0"/>
                <w:smallCaps w:val="0"/>
                <w:sz w:val="24"/>
              </w:rPr>
              <w:t>human-factors</w:t>
            </w:r>
            <w:proofErr w:type="spellEnd"/>
            <w:r w:rsidRPr="009E0EAC">
              <w:rPr>
                <w:rFonts w:cs="Arial"/>
                <w:b w:val="0"/>
                <w:smallCaps w:val="0"/>
                <w:sz w:val="24"/>
              </w:rPr>
              <w:t xml:space="preserve"> in design and engineering of materials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CA6E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98C9" w14:textId="77777777" w:rsidR="009E0EAC" w:rsidRPr="009E0EAC" w:rsidRDefault="009E0EAC" w:rsidP="002378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E0EAC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</w:tbl>
    <w:p w14:paraId="2F640299" w14:textId="77777777" w:rsidR="0058401E" w:rsidRDefault="0058401E" w:rsidP="00417D8E"/>
    <w:sectPr w:rsidR="0058401E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53F40" w14:textId="77777777" w:rsidR="001F29D5" w:rsidRDefault="001F29D5" w:rsidP="009149B6">
      <w:r>
        <w:separator/>
      </w:r>
    </w:p>
  </w:endnote>
  <w:endnote w:type="continuationSeparator" w:id="0">
    <w:p w14:paraId="6CE66EE1" w14:textId="77777777" w:rsidR="001F29D5" w:rsidRDefault="001F29D5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482EC" w14:textId="77777777" w:rsidR="001F29D5" w:rsidRDefault="001F29D5" w:rsidP="009149B6">
      <w:r>
        <w:separator/>
      </w:r>
    </w:p>
  </w:footnote>
  <w:footnote w:type="continuationSeparator" w:id="0">
    <w:p w14:paraId="46BF2C7C" w14:textId="77777777" w:rsidR="001F29D5" w:rsidRDefault="001F29D5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1392C"/>
    <w:rsid w:val="00024B12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29D5"/>
    <w:rsid w:val="001F793F"/>
    <w:rsid w:val="002057F3"/>
    <w:rsid w:val="002124A5"/>
    <w:rsid w:val="00212952"/>
    <w:rsid w:val="00222A26"/>
    <w:rsid w:val="00230727"/>
    <w:rsid w:val="0023520B"/>
    <w:rsid w:val="002378D2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8401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45AA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064A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665"/>
    <w:rsid w:val="00822519"/>
    <w:rsid w:val="00824475"/>
    <w:rsid w:val="008269A7"/>
    <w:rsid w:val="00835F11"/>
    <w:rsid w:val="00837207"/>
    <w:rsid w:val="00856601"/>
    <w:rsid w:val="008B098E"/>
    <w:rsid w:val="008B1763"/>
    <w:rsid w:val="008B3E60"/>
    <w:rsid w:val="008D7330"/>
    <w:rsid w:val="008F28E5"/>
    <w:rsid w:val="008F6B19"/>
    <w:rsid w:val="00905038"/>
    <w:rsid w:val="009119C0"/>
    <w:rsid w:val="009149B6"/>
    <w:rsid w:val="009273C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0EAC"/>
    <w:rsid w:val="009E152A"/>
    <w:rsid w:val="009E3892"/>
    <w:rsid w:val="009F307D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9197D"/>
    <w:rsid w:val="00AA3E5B"/>
    <w:rsid w:val="00AA5FC5"/>
    <w:rsid w:val="00AB4AAA"/>
    <w:rsid w:val="00AB59F6"/>
    <w:rsid w:val="00AC4BD1"/>
    <w:rsid w:val="00AD3A31"/>
    <w:rsid w:val="00AD49A3"/>
    <w:rsid w:val="00AD58D1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80ACA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7D0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976EF"/>
    <w:rsid w:val="00E976FC"/>
    <w:rsid w:val="00EA480D"/>
    <w:rsid w:val="00EB1977"/>
    <w:rsid w:val="00EC675C"/>
    <w:rsid w:val="00ED234B"/>
    <w:rsid w:val="00ED5B6E"/>
    <w:rsid w:val="00EE56B8"/>
    <w:rsid w:val="00F003D3"/>
    <w:rsid w:val="00F04AB9"/>
    <w:rsid w:val="00F12029"/>
    <w:rsid w:val="00F1546E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8D843"/>
  <w15:docId w15:val="{4FC54CCB-5D15-4619-AD2C-8094F05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DA4DE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8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5021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Magdalena Szymanowska</cp:lastModifiedBy>
  <cp:revision>2</cp:revision>
  <cp:lastPrinted>2017-05-17T06:11:00Z</cp:lastPrinted>
  <dcterms:created xsi:type="dcterms:W3CDTF">2021-01-25T10:10:00Z</dcterms:created>
  <dcterms:modified xsi:type="dcterms:W3CDTF">2021-01-25T10:10:00Z</dcterms:modified>
</cp:coreProperties>
</file>