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1BCA" w14:textId="6C25CD85" w:rsidR="00303282" w:rsidRPr="003072FB" w:rsidRDefault="003072FB" w:rsidP="003072FB">
      <w:pPr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r w:rsidRPr="003072FB">
        <w:rPr>
          <w:rFonts w:ascii="Calibri" w:hAnsi="Calibri"/>
          <w:b/>
          <w:sz w:val="32"/>
        </w:rPr>
        <w:t>Zarządzenie nr</w:t>
      </w:r>
      <w:r w:rsidR="00927F20" w:rsidRPr="003072FB">
        <w:rPr>
          <w:rFonts w:ascii="Calibri" w:hAnsi="Calibri"/>
          <w:b/>
          <w:sz w:val="32"/>
        </w:rPr>
        <w:t xml:space="preserve"> 79</w:t>
      </w:r>
      <w:r>
        <w:rPr>
          <w:rFonts w:ascii="Calibri" w:hAnsi="Calibri"/>
          <w:b/>
          <w:sz w:val="32"/>
        </w:rPr>
        <w:br/>
      </w:r>
      <w:r w:rsidR="00303282" w:rsidRPr="003072FB">
        <w:rPr>
          <w:rFonts w:ascii="Calibri" w:hAnsi="Calibri"/>
          <w:b/>
          <w:sz w:val="28"/>
        </w:rPr>
        <w:t>Rektora Zachodniopomorskiego Uniwersytetu Technologicznego w Szczecinie</w:t>
      </w:r>
      <w:r>
        <w:rPr>
          <w:rFonts w:ascii="Calibri" w:hAnsi="Calibri"/>
          <w:b/>
          <w:sz w:val="28"/>
        </w:rPr>
        <w:br/>
      </w:r>
      <w:r w:rsidR="00303282" w:rsidRPr="003072FB">
        <w:rPr>
          <w:rFonts w:ascii="Calibri" w:hAnsi="Calibri"/>
          <w:b/>
          <w:sz w:val="28"/>
        </w:rPr>
        <w:t xml:space="preserve">z dnia </w:t>
      </w:r>
      <w:r w:rsidR="00927F20" w:rsidRPr="003072FB">
        <w:rPr>
          <w:rFonts w:ascii="Calibri" w:hAnsi="Calibri"/>
          <w:b/>
          <w:sz w:val="28"/>
        </w:rPr>
        <w:t>13</w:t>
      </w:r>
      <w:r w:rsidR="00544B6D" w:rsidRPr="003072FB">
        <w:rPr>
          <w:rFonts w:ascii="Calibri" w:hAnsi="Calibri"/>
          <w:b/>
          <w:sz w:val="28"/>
        </w:rPr>
        <w:t xml:space="preserve"> czerwca 2022</w:t>
      </w:r>
      <w:r w:rsidR="00303282" w:rsidRPr="003072FB">
        <w:rPr>
          <w:rFonts w:ascii="Calibri" w:hAnsi="Calibri"/>
          <w:b/>
          <w:sz w:val="28"/>
        </w:rPr>
        <w:t xml:space="preserve"> r.</w:t>
      </w:r>
    </w:p>
    <w:p w14:paraId="2AD2F33E" w14:textId="1CA5DA8F" w:rsidR="00303282" w:rsidRPr="003072FB" w:rsidRDefault="00927F20" w:rsidP="003072FB">
      <w:pPr>
        <w:spacing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3072FB">
        <w:rPr>
          <w:rFonts w:ascii="Calibri" w:hAnsi="Calibri"/>
          <w:b/>
          <w:sz w:val="24"/>
          <w:szCs w:val="24"/>
        </w:rPr>
        <w:t>zmieniające zarządzenie nr 196 Rektora ZUT z dnia 27 listopada 2020 r.</w:t>
      </w:r>
      <w:r w:rsidRPr="003072FB">
        <w:rPr>
          <w:rFonts w:ascii="Calibri" w:hAnsi="Calibri"/>
          <w:b/>
          <w:sz w:val="24"/>
          <w:szCs w:val="24"/>
        </w:rPr>
        <w:br/>
      </w:r>
      <w:r w:rsidR="00303282" w:rsidRPr="003072FB">
        <w:rPr>
          <w:rFonts w:ascii="Calibri" w:hAnsi="Calibri"/>
          <w:b/>
          <w:sz w:val="24"/>
          <w:szCs w:val="24"/>
        </w:rPr>
        <w:t>w sprawie zasad określających wysokość i podział kosztów pośrednich</w:t>
      </w:r>
      <w:r w:rsidR="00BC599F" w:rsidRPr="003072FB">
        <w:rPr>
          <w:rFonts w:ascii="Calibri" w:hAnsi="Calibri"/>
          <w:b/>
          <w:sz w:val="24"/>
          <w:szCs w:val="24"/>
        </w:rPr>
        <w:br/>
      </w:r>
      <w:r w:rsidR="00303282" w:rsidRPr="003072FB">
        <w:rPr>
          <w:rFonts w:ascii="Calibri" w:hAnsi="Calibri"/>
          <w:b/>
          <w:sz w:val="24"/>
          <w:szCs w:val="24"/>
        </w:rPr>
        <w:t xml:space="preserve">w poszczególnych rodzajach działalności badawczej i pozabadawczej, </w:t>
      </w:r>
      <w:r w:rsidR="00BC599F" w:rsidRPr="003072FB">
        <w:rPr>
          <w:rFonts w:ascii="Calibri" w:hAnsi="Calibri"/>
          <w:b/>
          <w:sz w:val="24"/>
          <w:szCs w:val="24"/>
        </w:rPr>
        <w:br/>
      </w:r>
      <w:r w:rsidR="00303282" w:rsidRPr="003072FB">
        <w:rPr>
          <w:rFonts w:ascii="Calibri" w:hAnsi="Calibri"/>
          <w:b/>
          <w:sz w:val="24"/>
          <w:szCs w:val="24"/>
        </w:rPr>
        <w:t xml:space="preserve">projektów współfinansowanych z funduszy strukturalnych, źródeł zewnętrznych </w:t>
      </w:r>
      <w:r w:rsidR="00BC599F" w:rsidRPr="003072FB">
        <w:rPr>
          <w:rFonts w:ascii="Calibri" w:hAnsi="Calibri"/>
          <w:b/>
          <w:sz w:val="24"/>
          <w:szCs w:val="24"/>
        </w:rPr>
        <w:br/>
      </w:r>
      <w:r w:rsidR="00303282" w:rsidRPr="003072FB">
        <w:rPr>
          <w:rFonts w:ascii="Calibri" w:hAnsi="Calibri"/>
          <w:b/>
          <w:sz w:val="24"/>
          <w:szCs w:val="24"/>
        </w:rPr>
        <w:t xml:space="preserve">oraz innych mechanizmów finansowych </w:t>
      </w:r>
    </w:p>
    <w:p w14:paraId="79CA69B6" w14:textId="4BE1FDB7" w:rsidR="00303282" w:rsidRPr="003072FB" w:rsidRDefault="00303282" w:rsidP="003072FB">
      <w:pPr>
        <w:spacing w:before="120" w:line="360" w:lineRule="auto"/>
        <w:rPr>
          <w:rFonts w:ascii="Calibri" w:hAnsi="Calibri"/>
          <w:sz w:val="24"/>
          <w:szCs w:val="24"/>
        </w:rPr>
      </w:pPr>
      <w:r w:rsidRPr="003072FB">
        <w:rPr>
          <w:rFonts w:ascii="Calibri" w:hAnsi="Calibri"/>
          <w:sz w:val="24"/>
          <w:szCs w:val="24"/>
        </w:rPr>
        <w:t xml:space="preserve">Na podstawie </w:t>
      </w:r>
      <w:r w:rsidR="001412F4" w:rsidRPr="003072FB">
        <w:rPr>
          <w:rFonts w:ascii="Calibri" w:hAnsi="Calibri"/>
          <w:sz w:val="24"/>
          <w:szCs w:val="24"/>
        </w:rPr>
        <w:t xml:space="preserve">art. 23 ust. 1 ustawy z dnia 20 lipca 2018 r. </w:t>
      </w:r>
      <w:r w:rsidR="001335E2" w:rsidRPr="003072FB">
        <w:rPr>
          <w:rFonts w:ascii="Calibri" w:hAnsi="Calibri"/>
          <w:sz w:val="24"/>
          <w:szCs w:val="24"/>
        </w:rPr>
        <w:t>P</w:t>
      </w:r>
      <w:r w:rsidR="001412F4" w:rsidRPr="003072FB">
        <w:rPr>
          <w:rFonts w:ascii="Calibri" w:hAnsi="Calibri"/>
          <w:sz w:val="24"/>
          <w:szCs w:val="24"/>
        </w:rPr>
        <w:t>rawo o szkolnictwie wyższym i nauce (tekst jedn. Dz. U. z 202</w:t>
      </w:r>
      <w:r w:rsidR="00544B6D" w:rsidRPr="003072FB">
        <w:rPr>
          <w:rFonts w:ascii="Calibri" w:hAnsi="Calibri"/>
          <w:sz w:val="24"/>
          <w:szCs w:val="24"/>
        </w:rPr>
        <w:t>2</w:t>
      </w:r>
      <w:r w:rsidR="001412F4" w:rsidRPr="003072FB">
        <w:rPr>
          <w:rFonts w:ascii="Calibri" w:hAnsi="Calibri"/>
          <w:sz w:val="24"/>
          <w:szCs w:val="24"/>
        </w:rPr>
        <w:t xml:space="preserve"> r. poz. </w:t>
      </w:r>
      <w:r w:rsidR="00544B6D" w:rsidRPr="003072FB">
        <w:rPr>
          <w:rFonts w:ascii="Calibri" w:hAnsi="Calibri"/>
          <w:sz w:val="24"/>
          <w:szCs w:val="24"/>
        </w:rPr>
        <w:t>574</w:t>
      </w:r>
      <w:r w:rsidR="001412F4" w:rsidRPr="003072FB">
        <w:rPr>
          <w:rFonts w:ascii="Calibri" w:hAnsi="Calibri"/>
          <w:sz w:val="24"/>
          <w:szCs w:val="24"/>
        </w:rPr>
        <w:t xml:space="preserve">, z późn. zm.) </w:t>
      </w:r>
      <w:r w:rsidRPr="003072FB">
        <w:rPr>
          <w:rFonts w:ascii="Calibri" w:hAnsi="Calibri"/>
          <w:sz w:val="24"/>
          <w:szCs w:val="24"/>
        </w:rPr>
        <w:t>zarządza się, co następuje:</w:t>
      </w:r>
    </w:p>
    <w:p w14:paraId="585C684C" w14:textId="77777777" w:rsidR="00303282" w:rsidRPr="003072FB" w:rsidRDefault="00303282" w:rsidP="003072FB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3072FB">
        <w:rPr>
          <w:rFonts w:ascii="Calibri" w:hAnsi="Calibri"/>
          <w:b/>
          <w:sz w:val="24"/>
          <w:szCs w:val="24"/>
        </w:rPr>
        <w:t>§ 1.</w:t>
      </w:r>
    </w:p>
    <w:p w14:paraId="32976CFE" w14:textId="5E82E742" w:rsidR="00544B6D" w:rsidRPr="003072FB" w:rsidRDefault="00544B6D" w:rsidP="003072FB">
      <w:pPr>
        <w:spacing w:line="360" w:lineRule="auto"/>
        <w:rPr>
          <w:rFonts w:ascii="Calibri" w:hAnsi="Calibri"/>
          <w:sz w:val="24"/>
          <w:szCs w:val="24"/>
        </w:rPr>
      </w:pPr>
      <w:r w:rsidRPr="003072FB">
        <w:rPr>
          <w:rFonts w:ascii="Calibri" w:hAnsi="Calibri"/>
          <w:sz w:val="24"/>
          <w:szCs w:val="24"/>
        </w:rPr>
        <w:t>W zarządzeniu nr 196 Rektora ZUT z dnia 27 listopada 2020 r. w sprawie za</w:t>
      </w:r>
      <w:r w:rsidR="008F4F0E" w:rsidRPr="003072FB">
        <w:rPr>
          <w:rFonts w:ascii="Calibri" w:hAnsi="Calibri"/>
          <w:sz w:val="24"/>
          <w:szCs w:val="24"/>
        </w:rPr>
        <w:t>sad</w:t>
      </w:r>
      <w:r w:rsidRPr="003072FB">
        <w:rPr>
          <w:rFonts w:ascii="Calibri" w:hAnsi="Calibri"/>
          <w:sz w:val="24"/>
          <w:szCs w:val="24"/>
        </w:rPr>
        <w:t xml:space="preserve"> określających wysokość i podział kosztów pośrednich w poszczególnych rodzajach działalności badawczej i</w:t>
      </w:r>
      <w:r w:rsidR="008F4F0E" w:rsidRPr="003072FB">
        <w:rPr>
          <w:rFonts w:ascii="Calibri" w:hAnsi="Calibri"/>
          <w:sz w:val="24"/>
          <w:szCs w:val="24"/>
        </w:rPr>
        <w:t> </w:t>
      </w:r>
      <w:r w:rsidRPr="003072FB">
        <w:rPr>
          <w:rFonts w:ascii="Calibri" w:hAnsi="Calibri"/>
          <w:sz w:val="24"/>
          <w:szCs w:val="24"/>
        </w:rPr>
        <w:t xml:space="preserve">pozabadawczej, projektów współfinansowanych z funduszy strukturalnych, źródeł zewnętrznych oraz innych mechanizmów finansowych </w:t>
      </w:r>
      <w:r w:rsidR="002D3CFE" w:rsidRPr="003072FB">
        <w:rPr>
          <w:rFonts w:ascii="Calibri" w:hAnsi="Calibri"/>
          <w:sz w:val="24"/>
          <w:szCs w:val="24"/>
        </w:rPr>
        <w:t xml:space="preserve">w § 2 </w:t>
      </w:r>
      <w:r w:rsidRPr="003072FB">
        <w:rPr>
          <w:rFonts w:ascii="Calibri" w:hAnsi="Calibri"/>
          <w:sz w:val="24"/>
          <w:szCs w:val="24"/>
        </w:rPr>
        <w:t>wprowadza się zmiany:</w:t>
      </w:r>
    </w:p>
    <w:p w14:paraId="42AB7652" w14:textId="58059301" w:rsidR="00303282" w:rsidRPr="003072FB" w:rsidRDefault="002D3CFE" w:rsidP="003072FB">
      <w:pPr>
        <w:pStyle w:val="Akapitzlist"/>
        <w:keepNext/>
        <w:keepLines/>
        <w:numPr>
          <w:ilvl w:val="0"/>
          <w:numId w:val="10"/>
        </w:numPr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3072FB">
        <w:rPr>
          <w:rFonts w:ascii="Calibri" w:hAnsi="Calibri"/>
          <w:sz w:val="24"/>
          <w:szCs w:val="24"/>
        </w:rPr>
        <w:t>ust. 1 otrzymuje brzmienie:</w:t>
      </w:r>
      <w:r w:rsidR="003072FB">
        <w:rPr>
          <w:rFonts w:ascii="Calibri" w:hAnsi="Calibri"/>
          <w:sz w:val="24"/>
          <w:szCs w:val="24"/>
        </w:rPr>
        <w:br/>
      </w:r>
      <w:r w:rsidRPr="003072FB">
        <w:rPr>
          <w:rFonts w:ascii="Calibri" w:hAnsi="Calibri"/>
          <w:sz w:val="24"/>
          <w:szCs w:val="24"/>
        </w:rPr>
        <w:t>„1. Z zastrzeżeniem ust. 2, podstawą do naliczenia kosztów pośrednich są koszty bezpośrednie, bez kosztów aparatury naukowo-badawczej (środków trwałych i wartości niematerialnych i</w:t>
      </w:r>
      <w:r w:rsidR="008F4F0E" w:rsidRPr="003072FB">
        <w:rPr>
          <w:rFonts w:ascii="Calibri" w:hAnsi="Calibri"/>
          <w:sz w:val="24"/>
          <w:szCs w:val="24"/>
        </w:rPr>
        <w:t> </w:t>
      </w:r>
      <w:r w:rsidRPr="003072FB">
        <w:rPr>
          <w:rFonts w:ascii="Calibri" w:hAnsi="Calibri"/>
          <w:sz w:val="24"/>
          <w:szCs w:val="24"/>
        </w:rPr>
        <w:t>prawnych) oraz usług wewnętrznych i kosztów bibliotecznych nośników informacji (o</w:t>
      </w:r>
      <w:r w:rsidR="003072FB" w:rsidRPr="003072FB">
        <w:rPr>
          <w:rFonts w:ascii="Calibri" w:hAnsi="Calibri"/>
          <w:sz w:val="24"/>
          <w:szCs w:val="24"/>
        </w:rPr>
        <w:t> </w:t>
      </w:r>
      <w:r w:rsidRPr="003072FB">
        <w:rPr>
          <w:rFonts w:ascii="Calibri" w:hAnsi="Calibri"/>
          <w:sz w:val="24"/>
          <w:szCs w:val="24"/>
        </w:rPr>
        <w:t>ile</w:t>
      </w:r>
      <w:r w:rsidR="003072FB" w:rsidRPr="003072FB">
        <w:rPr>
          <w:rFonts w:ascii="Calibri" w:hAnsi="Calibri"/>
          <w:sz w:val="24"/>
          <w:szCs w:val="24"/>
        </w:rPr>
        <w:t> </w:t>
      </w:r>
      <w:r w:rsidRPr="003072FB">
        <w:rPr>
          <w:rFonts w:ascii="Calibri" w:hAnsi="Calibri"/>
          <w:sz w:val="24"/>
          <w:szCs w:val="24"/>
        </w:rPr>
        <w:t>zasady realizacji projektu nie stanowią inaczej).”;</w:t>
      </w:r>
    </w:p>
    <w:p w14:paraId="6335EED4" w14:textId="1D3EF3E2" w:rsidR="002D3CFE" w:rsidRPr="003072FB" w:rsidRDefault="002D3CFE" w:rsidP="003072FB">
      <w:pPr>
        <w:pStyle w:val="Akapitzlist"/>
        <w:keepNext/>
        <w:keepLines/>
        <w:numPr>
          <w:ilvl w:val="0"/>
          <w:numId w:val="10"/>
        </w:numPr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3072FB">
        <w:rPr>
          <w:rFonts w:ascii="Calibri" w:hAnsi="Calibri"/>
          <w:sz w:val="24"/>
          <w:szCs w:val="24"/>
        </w:rPr>
        <w:t>ust. 6 otrzymuje brzmienie:</w:t>
      </w:r>
      <w:r w:rsidR="003072FB">
        <w:rPr>
          <w:rFonts w:ascii="Calibri" w:hAnsi="Calibri"/>
          <w:sz w:val="24"/>
          <w:szCs w:val="24"/>
        </w:rPr>
        <w:br/>
      </w:r>
      <w:r w:rsidRPr="003072FB">
        <w:rPr>
          <w:rFonts w:ascii="Calibri" w:hAnsi="Calibri"/>
          <w:sz w:val="24"/>
          <w:szCs w:val="24"/>
        </w:rPr>
        <w:t>„6. Wydatki finansowane z narzutów kosztów pośrednich</w:t>
      </w:r>
      <w:r w:rsidR="001146EB" w:rsidRPr="003072FB">
        <w:rPr>
          <w:rFonts w:ascii="Calibri" w:hAnsi="Calibri"/>
          <w:sz w:val="24"/>
          <w:szCs w:val="24"/>
        </w:rPr>
        <w:t xml:space="preserve"> wydziałowych </w:t>
      </w:r>
      <w:r w:rsidR="008F4F0E" w:rsidRPr="003072FB">
        <w:rPr>
          <w:rFonts w:ascii="Calibri" w:hAnsi="Calibri"/>
          <w:sz w:val="24"/>
          <w:szCs w:val="24"/>
        </w:rPr>
        <w:t xml:space="preserve">pozostających </w:t>
      </w:r>
      <w:r w:rsidR="001146EB" w:rsidRPr="003072FB">
        <w:rPr>
          <w:rFonts w:ascii="Calibri" w:hAnsi="Calibri"/>
          <w:sz w:val="24"/>
          <w:szCs w:val="24"/>
        </w:rPr>
        <w:t>w</w:t>
      </w:r>
      <w:r w:rsidR="008F4F0E" w:rsidRPr="003072FB">
        <w:rPr>
          <w:rFonts w:ascii="Calibri" w:hAnsi="Calibri"/>
          <w:sz w:val="24"/>
          <w:szCs w:val="24"/>
        </w:rPr>
        <w:t> </w:t>
      </w:r>
      <w:r w:rsidR="001146EB" w:rsidRPr="003072FB">
        <w:rPr>
          <w:rFonts w:ascii="Calibri" w:hAnsi="Calibri"/>
          <w:sz w:val="24"/>
          <w:szCs w:val="24"/>
        </w:rPr>
        <w:t>dyspozycji kierownika projektu/pracy</w:t>
      </w:r>
      <w:r w:rsidRPr="003072FB">
        <w:rPr>
          <w:rFonts w:ascii="Calibri" w:hAnsi="Calibri"/>
          <w:sz w:val="24"/>
          <w:szCs w:val="24"/>
        </w:rPr>
        <w:t xml:space="preserve"> muszą być poniesione w odniesieniu do</w:t>
      </w:r>
      <w:r w:rsidR="003072FB">
        <w:rPr>
          <w:rFonts w:ascii="Calibri" w:hAnsi="Calibri"/>
          <w:sz w:val="24"/>
          <w:szCs w:val="24"/>
        </w:rPr>
        <w:t> </w:t>
      </w:r>
      <w:r w:rsidRPr="003072FB">
        <w:rPr>
          <w:rFonts w:ascii="Calibri" w:hAnsi="Calibri"/>
          <w:sz w:val="24"/>
          <w:szCs w:val="24"/>
        </w:rPr>
        <w:t>projektu/pracy, którego/której dotyczą i w czasie trwania projektu/pracy, z uwzględnieniem zasad jego finansowania/realizacji.</w:t>
      </w:r>
      <w:r w:rsidR="001146EB" w:rsidRPr="003072FB">
        <w:rPr>
          <w:rFonts w:ascii="Calibri" w:hAnsi="Calibri"/>
          <w:sz w:val="24"/>
          <w:szCs w:val="24"/>
        </w:rPr>
        <w:t xml:space="preserve"> W uzasadnionych przypadkach, dopuszcza się ponoszenie wydatków finansowanych z narzutów kosztów pośrednich wydziałowych </w:t>
      </w:r>
      <w:r w:rsidR="008F4F0E" w:rsidRPr="003072FB">
        <w:rPr>
          <w:rFonts w:ascii="Calibri" w:hAnsi="Calibri"/>
          <w:sz w:val="24"/>
          <w:szCs w:val="24"/>
        </w:rPr>
        <w:t xml:space="preserve">pozostających </w:t>
      </w:r>
      <w:r w:rsidR="001146EB" w:rsidRPr="003072FB">
        <w:rPr>
          <w:rFonts w:ascii="Calibri" w:hAnsi="Calibri"/>
          <w:sz w:val="24"/>
          <w:szCs w:val="24"/>
        </w:rPr>
        <w:t>w</w:t>
      </w:r>
      <w:r w:rsidR="003072FB">
        <w:rPr>
          <w:rFonts w:ascii="Calibri" w:hAnsi="Calibri"/>
          <w:sz w:val="24"/>
          <w:szCs w:val="24"/>
        </w:rPr>
        <w:t> </w:t>
      </w:r>
      <w:r w:rsidR="001146EB" w:rsidRPr="003072FB">
        <w:rPr>
          <w:rFonts w:ascii="Calibri" w:hAnsi="Calibri"/>
          <w:sz w:val="24"/>
          <w:szCs w:val="24"/>
        </w:rPr>
        <w:t xml:space="preserve">dyspozycji kierownika projektu/pracy w terminie </w:t>
      </w:r>
      <w:r w:rsidR="00A34291" w:rsidRPr="003072FB">
        <w:rPr>
          <w:rFonts w:ascii="Calibri" w:hAnsi="Calibri"/>
          <w:sz w:val="24"/>
          <w:szCs w:val="24"/>
        </w:rPr>
        <w:t xml:space="preserve">do </w:t>
      </w:r>
      <w:r w:rsidR="008566F5" w:rsidRPr="003072FB">
        <w:rPr>
          <w:rFonts w:ascii="Calibri" w:hAnsi="Calibri"/>
          <w:sz w:val="24"/>
          <w:szCs w:val="24"/>
        </w:rPr>
        <w:t>3</w:t>
      </w:r>
      <w:r w:rsidR="00A34291" w:rsidRPr="003072FB">
        <w:rPr>
          <w:rFonts w:ascii="Calibri" w:hAnsi="Calibri"/>
          <w:sz w:val="24"/>
          <w:szCs w:val="24"/>
        </w:rPr>
        <w:t xml:space="preserve"> miesięcy </w:t>
      </w:r>
      <w:r w:rsidR="001146EB" w:rsidRPr="003072FB">
        <w:rPr>
          <w:rFonts w:ascii="Calibri" w:hAnsi="Calibri"/>
          <w:sz w:val="24"/>
          <w:szCs w:val="24"/>
        </w:rPr>
        <w:t>po zakończeniu realizacji projektu/pracy</w:t>
      </w:r>
      <w:r w:rsidR="00A34291" w:rsidRPr="003072FB">
        <w:rPr>
          <w:rFonts w:ascii="Calibri" w:hAnsi="Calibri"/>
          <w:sz w:val="24"/>
          <w:szCs w:val="24"/>
        </w:rPr>
        <w:t>.</w:t>
      </w:r>
      <w:r w:rsidRPr="003072FB">
        <w:rPr>
          <w:rFonts w:ascii="Calibri" w:hAnsi="Calibri"/>
          <w:sz w:val="24"/>
          <w:szCs w:val="24"/>
        </w:rPr>
        <w:t>”.</w:t>
      </w:r>
    </w:p>
    <w:p w14:paraId="25BDC01B" w14:textId="77777777" w:rsidR="00303282" w:rsidRPr="003072FB" w:rsidRDefault="00303282" w:rsidP="003072FB">
      <w:pPr>
        <w:spacing w:after="60" w:line="360" w:lineRule="auto"/>
        <w:ind w:left="397"/>
        <w:jc w:val="center"/>
        <w:outlineLvl w:val="1"/>
        <w:rPr>
          <w:rFonts w:ascii="Calibri" w:hAnsi="Calibri"/>
          <w:b/>
          <w:sz w:val="24"/>
          <w:szCs w:val="24"/>
        </w:rPr>
      </w:pPr>
      <w:r w:rsidRPr="003072FB">
        <w:rPr>
          <w:rFonts w:ascii="Calibri" w:hAnsi="Calibri"/>
          <w:b/>
          <w:sz w:val="24"/>
          <w:szCs w:val="24"/>
        </w:rPr>
        <w:t>§ 2.</w:t>
      </w:r>
    </w:p>
    <w:p w14:paraId="56AA86D6" w14:textId="6173830A" w:rsidR="00303282" w:rsidRPr="003072FB" w:rsidRDefault="001E0CDA" w:rsidP="003072F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3072FB">
        <w:rPr>
          <w:rFonts w:ascii="Calibri" w:hAnsi="Calibri"/>
          <w:sz w:val="24"/>
          <w:szCs w:val="24"/>
        </w:rPr>
        <w:t>Zarządzenie wchodzi w życie z dniem podpisania.</w:t>
      </w:r>
    </w:p>
    <w:p w14:paraId="6BE31EA4" w14:textId="66965D9D" w:rsidR="00045EEC" w:rsidRPr="003072FB" w:rsidRDefault="00303282" w:rsidP="003072FB">
      <w:pPr>
        <w:keepNext/>
        <w:spacing w:line="720" w:lineRule="auto"/>
        <w:ind w:left="3822"/>
        <w:jc w:val="center"/>
        <w:rPr>
          <w:rFonts w:ascii="Calibri" w:hAnsi="Calibri"/>
        </w:rPr>
      </w:pPr>
      <w:r w:rsidRPr="003072FB">
        <w:rPr>
          <w:rFonts w:ascii="Calibri" w:hAnsi="Calibri"/>
          <w:bCs/>
          <w:kern w:val="32"/>
          <w:sz w:val="24"/>
          <w:szCs w:val="24"/>
        </w:rPr>
        <w:t>Rektor</w:t>
      </w:r>
      <w:r w:rsidR="003072FB">
        <w:rPr>
          <w:rFonts w:ascii="Calibri" w:hAnsi="Calibri"/>
          <w:bCs/>
          <w:kern w:val="32"/>
          <w:sz w:val="24"/>
          <w:szCs w:val="24"/>
        </w:rPr>
        <w:br/>
      </w:r>
      <w:r w:rsidRPr="003072FB">
        <w:rPr>
          <w:rFonts w:ascii="Calibri" w:hAnsi="Calibri"/>
          <w:sz w:val="24"/>
          <w:szCs w:val="24"/>
        </w:rPr>
        <w:t xml:space="preserve">dr hab. inż. Jacek Wróbel, prof. </w:t>
      </w:r>
      <w:r w:rsidR="00CB7785" w:rsidRPr="003072FB">
        <w:rPr>
          <w:rFonts w:ascii="Calibri" w:hAnsi="Calibri"/>
          <w:sz w:val="24"/>
          <w:szCs w:val="24"/>
        </w:rPr>
        <w:t>ZUT</w:t>
      </w:r>
    </w:p>
    <w:sectPr w:rsidR="00045EEC" w:rsidRPr="003072FB" w:rsidSect="003072FB">
      <w:pgSz w:w="11906" w:h="16838"/>
      <w:pgMar w:top="851" w:right="851" w:bottom="28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54BF" w14:textId="77777777" w:rsidR="00652CCC" w:rsidRDefault="00652CCC" w:rsidP="008F391A">
      <w:r>
        <w:separator/>
      </w:r>
    </w:p>
  </w:endnote>
  <w:endnote w:type="continuationSeparator" w:id="0">
    <w:p w14:paraId="36F26AD2" w14:textId="77777777" w:rsidR="00652CCC" w:rsidRDefault="00652CCC" w:rsidP="008F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E7BD" w14:textId="77777777" w:rsidR="00652CCC" w:rsidRDefault="00652CCC" w:rsidP="008F391A">
      <w:r>
        <w:separator/>
      </w:r>
    </w:p>
  </w:footnote>
  <w:footnote w:type="continuationSeparator" w:id="0">
    <w:p w14:paraId="477418D8" w14:textId="77777777" w:rsidR="00652CCC" w:rsidRDefault="00652CCC" w:rsidP="008F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FED"/>
    <w:multiLevelType w:val="hybridMultilevel"/>
    <w:tmpl w:val="2EA280E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E61395"/>
    <w:multiLevelType w:val="hybridMultilevel"/>
    <w:tmpl w:val="C1EAB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B7D4D"/>
    <w:multiLevelType w:val="hybridMultilevel"/>
    <w:tmpl w:val="C4CEC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127B"/>
    <w:multiLevelType w:val="multilevel"/>
    <w:tmpl w:val="94CAB7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C5C7FB8"/>
    <w:multiLevelType w:val="hybridMultilevel"/>
    <w:tmpl w:val="F72CFB9E"/>
    <w:lvl w:ilvl="0" w:tplc="C85CFD8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A6856"/>
    <w:multiLevelType w:val="singleLevel"/>
    <w:tmpl w:val="6E3C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EF143E"/>
    <w:multiLevelType w:val="hybridMultilevel"/>
    <w:tmpl w:val="66846C8E"/>
    <w:lvl w:ilvl="0" w:tplc="1AEE7E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C1E8C"/>
    <w:multiLevelType w:val="hybridMultilevel"/>
    <w:tmpl w:val="10E68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14425"/>
    <w:multiLevelType w:val="hybridMultilevel"/>
    <w:tmpl w:val="119A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46266"/>
    <w:multiLevelType w:val="hybridMultilevel"/>
    <w:tmpl w:val="FDB0F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0850531">
    <w:abstractNumId w:val="5"/>
  </w:num>
  <w:num w:numId="2" w16cid:durableId="2086106730">
    <w:abstractNumId w:val="3"/>
  </w:num>
  <w:num w:numId="3" w16cid:durableId="1230581872">
    <w:abstractNumId w:val="9"/>
  </w:num>
  <w:num w:numId="4" w16cid:durableId="310330191">
    <w:abstractNumId w:val="7"/>
  </w:num>
  <w:num w:numId="5" w16cid:durableId="484474326">
    <w:abstractNumId w:val="8"/>
  </w:num>
  <w:num w:numId="6" w16cid:durableId="1519274296">
    <w:abstractNumId w:val="4"/>
  </w:num>
  <w:num w:numId="7" w16cid:durableId="246691346">
    <w:abstractNumId w:val="1"/>
  </w:num>
  <w:num w:numId="8" w16cid:durableId="1463035067">
    <w:abstractNumId w:val="6"/>
  </w:num>
  <w:num w:numId="9" w16cid:durableId="1720281476">
    <w:abstractNumId w:val="0"/>
  </w:num>
  <w:num w:numId="10" w16cid:durableId="1190295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EC"/>
    <w:rsid w:val="00007F4E"/>
    <w:rsid w:val="00027280"/>
    <w:rsid w:val="00035458"/>
    <w:rsid w:val="00045EEC"/>
    <w:rsid w:val="000C5813"/>
    <w:rsid w:val="000F4073"/>
    <w:rsid w:val="00101386"/>
    <w:rsid w:val="00113567"/>
    <w:rsid w:val="001146EB"/>
    <w:rsid w:val="00132B85"/>
    <w:rsid w:val="001335E2"/>
    <w:rsid w:val="0013368D"/>
    <w:rsid w:val="00135094"/>
    <w:rsid w:val="001412F4"/>
    <w:rsid w:val="001670E1"/>
    <w:rsid w:val="001A39B4"/>
    <w:rsid w:val="001A55EB"/>
    <w:rsid w:val="001A76ED"/>
    <w:rsid w:val="001C5030"/>
    <w:rsid w:val="001D543C"/>
    <w:rsid w:val="001E0CDA"/>
    <w:rsid w:val="001F7DBE"/>
    <w:rsid w:val="00217AD3"/>
    <w:rsid w:val="0022775E"/>
    <w:rsid w:val="002403B7"/>
    <w:rsid w:val="002A35CC"/>
    <w:rsid w:val="002D3CFE"/>
    <w:rsid w:val="002D7EBB"/>
    <w:rsid w:val="002F46E4"/>
    <w:rsid w:val="00303282"/>
    <w:rsid w:val="003072FB"/>
    <w:rsid w:val="00310A67"/>
    <w:rsid w:val="00313944"/>
    <w:rsid w:val="00315784"/>
    <w:rsid w:val="00351FCB"/>
    <w:rsid w:val="00367993"/>
    <w:rsid w:val="003C0BD5"/>
    <w:rsid w:val="003D67EA"/>
    <w:rsid w:val="003D7EE9"/>
    <w:rsid w:val="003F1107"/>
    <w:rsid w:val="0041072B"/>
    <w:rsid w:val="00411DD9"/>
    <w:rsid w:val="00417BA5"/>
    <w:rsid w:val="00424E54"/>
    <w:rsid w:val="004327D5"/>
    <w:rsid w:val="00483C23"/>
    <w:rsid w:val="004E7C1E"/>
    <w:rsid w:val="00514BA5"/>
    <w:rsid w:val="00530B38"/>
    <w:rsid w:val="00544B6D"/>
    <w:rsid w:val="00545DB3"/>
    <w:rsid w:val="00546D42"/>
    <w:rsid w:val="005473B7"/>
    <w:rsid w:val="005833A6"/>
    <w:rsid w:val="00590361"/>
    <w:rsid w:val="005A7A94"/>
    <w:rsid w:val="005B0087"/>
    <w:rsid w:val="005B14D7"/>
    <w:rsid w:val="00615353"/>
    <w:rsid w:val="00645A09"/>
    <w:rsid w:val="00652CCC"/>
    <w:rsid w:val="00660E2D"/>
    <w:rsid w:val="00667493"/>
    <w:rsid w:val="00691858"/>
    <w:rsid w:val="006E7182"/>
    <w:rsid w:val="00715301"/>
    <w:rsid w:val="007154F6"/>
    <w:rsid w:val="00741A5E"/>
    <w:rsid w:val="00751496"/>
    <w:rsid w:val="00760938"/>
    <w:rsid w:val="00761F98"/>
    <w:rsid w:val="00784A2A"/>
    <w:rsid w:val="00786D47"/>
    <w:rsid w:val="00790191"/>
    <w:rsid w:val="007C4F74"/>
    <w:rsid w:val="007D4B92"/>
    <w:rsid w:val="008329A6"/>
    <w:rsid w:val="0084342A"/>
    <w:rsid w:val="008566F5"/>
    <w:rsid w:val="008E1858"/>
    <w:rsid w:val="008F391A"/>
    <w:rsid w:val="008F4F0E"/>
    <w:rsid w:val="008F663C"/>
    <w:rsid w:val="00916C11"/>
    <w:rsid w:val="00927F20"/>
    <w:rsid w:val="00930508"/>
    <w:rsid w:val="00932A27"/>
    <w:rsid w:val="009428EE"/>
    <w:rsid w:val="0097422F"/>
    <w:rsid w:val="00A00274"/>
    <w:rsid w:val="00A15A70"/>
    <w:rsid w:val="00A34291"/>
    <w:rsid w:val="00A64419"/>
    <w:rsid w:val="00A74459"/>
    <w:rsid w:val="00A85E3F"/>
    <w:rsid w:val="00A8781F"/>
    <w:rsid w:val="00AC0995"/>
    <w:rsid w:val="00AD10BB"/>
    <w:rsid w:val="00AD5EC9"/>
    <w:rsid w:val="00AF4B0B"/>
    <w:rsid w:val="00AF5A14"/>
    <w:rsid w:val="00B14756"/>
    <w:rsid w:val="00B4474D"/>
    <w:rsid w:val="00B46149"/>
    <w:rsid w:val="00B71157"/>
    <w:rsid w:val="00B720AC"/>
    <w:rsid w:val="00B81060"/>
    <w:rsid w:val="00B84FE3"/>
    <w:rsid w:val="00B95951"/>
    <w:rsid w:val="00BC57AC"/>
    <w:rsid w:val="00BC599F"/>
    <w:rsid w:val="00BE66B0"/>
    <w:rsid w:val="00C41304"/>
    <w:rsid w:val="00C600A2"/>
    <w:rsid w:val="00C74F12"/>
    <w:rsid w:val="00C8464A"/>
    <w:rsid w:val="00CB7785"/>
    <w:rsid w:val="00CC1F93"/>
    <w:rsid w:val="00CD0F2C"/>
    <w:rsid w:val="00CE148B"/>
    <w:rsid w:val="00CE3A8E"/>
    <w:rsid w:val="00D0300B"/>
    <w:rsid w:val="00D32D0D"/>
    <w:rsid w:val="00D37480"/>
    <w:rsid w:val="00D40523"/>
    <w:rsid w:val="00D834E5"/>
    <w:rsid w:val="00D96431"/>
    <w:rsid w:val="00DC17E4"/>
    <w:rsid w:val="00DC62A9"/>
    <w:rsid w:val="00E277CA"/>
    <w:rsid w:val="00E353A5"/>
    <w:rsid w:val="00E36557"/>
    <w:rsid w:val="00E51826"/>
    <w:rsid w:val="00E829C1"/>
    <w:rsid w:val="00EA4E4D"/>
    <w:rsid w:val="00EC195B"/>
    <w:rsid w:val="00EC5BAF"/>
    <w:rsid w:val="00EC6340"/>
    <w:rsid w:val="00ED2E71"/>
    <w:rsid w:val="00EE0E88"/>
    <w:rsid w:val="00EF7CBA"/>
    <w:rsid w:val="00F001B9"/>
    <w:rsid w:val="00F3382A"/>
    <w:rsid w:val="00F440C5"/>
    <w:rsid w:val="00F53275"/>
    <w:rsid w:val="00F804B4"/>
    <w:rsid w:val="00F80BEB"/>
    <w:rsid w:val="00F86788"/>
    <w:rsid w:val="00FA5AB7"/>
    <w:rsid w:val="00FD4B31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71EF0"/>
  <w15:chartTrackingRefBased/>
  <w15:docId w15:val="{F8DA1663-01BF-4D6A-B949-8517C017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7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7F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6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D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D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91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91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9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00CA8B73-94DB-4838-9F34-017CB5B2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79 Rektora Zachodniopomorskiego Uniwersytetu Technologicznego w Szczecinie z dnia 13 czerwca 2022 r. zmieniające zarządzenie nr 196 Rektora ZUT z dnia 27 listopada 2020 r. w sprawie zasad określających wysokość i podział kosztów pośrednich 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 Rektora Zachodniopomorskiego Uniwersytetu Technologicznego w Szczecinie z dnia 13 czerwca 2022 r. zmieniające zarządzenie nr 196 Rektora ZUT z dnia 27 listopada 2020 r. w sprawie zasad określających wysokość i podział kosztów pośrednich w poszczególnych rodzajach działalności badawczej i pozabadawczej, projektów współfinansowanych z funduszy strukturalnych, źródeł zewnętrznych oraz innych mechanizmów finansowych</dc:title>
  <dc:subject/>
  <dc:creator>Gabriela Pasturczak</dc:creator>
  <cp:keywords/>
  <dc:description/>
  <cp:lastModifiedBy>Marta Buśko</cp:lastModifiedBy>
  <cp:revision>3</cp:revision>
  <cp:lastPrinted>2020-11-27T07:55:00Z</cp:lastPrinted>
  <dcterms:created xsi:type="dcterms:W3CDTF">2022-06-14T07:00:00Z</dcterms:created>
  <dcterms:modified xsi:type="dcterms:W3CDTF">2022-06-14T07:57:00Z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2022-06-01T13:09:01Z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8c7599df-9b4f-42f8-b099-c8d9e30cc9df</vt:lpwstr>
  </property>
  <property fmtid="{D5CDD505-2E9C-101B-9397-08002B2CF9AE}" pid="8" name="MSIP_Label_50945193-57ff-457d-9504-518e9bfb59a9_ContentBits">
    <vt:lpwstr>0</vt:lpwstr>
  </property>
</Properties>
</file>