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742" w14:textId="77777777" w:rsidR="00DA1DD1" w:rsidRPr="00453F73" w:rsidRDefault="00453F73" w:rsidP="00F61B6A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453F73">
        <w:rPr>
          <w:rFonts w:ascii="Calibri" w:hAnsi="Calibri"/>
          <w:b/>
          <w:sz w:val="32"/>
          <w:szCs w:val="32"/>
        </w:rPr>
        <w:t xml:space="preserve">Zarządzenie nr </w:t>
      </w:r>
      <w:r w:rsidR="00234A24" w:rsidRPr="00453F73">
        <w:rPr>
          <w:rFonts w:ascii="Calibri" w:hAnsi="Calibri"/>
          <w:b/>
          <w:sz w:val="32"/>
          <w:szCs w:val="32"/>
        </w:rPr>
        <w:t>41</w:t>
      </w:r>
    </w:p>
    <w:p w14:paraId="308F385E" w14:textId="77777777" w:rsidR="00DA1DD1" w:rsidRPr="00453F73" w:rsidRDefault="00DA1DD1" w:rsidP="00F61B6A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453F7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61B6A" w:rsidRPr="00453F73">
        <w:rPr>
          <w:rFonts w:ascii="Calibri" w:hAnsi="Calibri"/>
          <w:b/>
          <w:sz w:val="28"/>
          <w:szCs w:val="28"/>
        </w:rPr>
        <w:br/>
      </w:r>
      <w:r w:rsidRPr="00453F73">
        <w:rPr>
          <w:rFonts w:ascii="Calibri" w:hAnsi="Calibri"/>
          <w:b/>
          <w:sz w:val="28"/>
          <w:szCs w:val="28"/>
        </w:rPr>
        <w:t xml:space="preserve">z dnia </w:t>
      </w:r>
      <w:r w:rsidR="00234A24" w:rsidRPr="00453F73">
        <w:rPr>
          <w:rFonts w:ascii="Calibri" w:hAnsi="Calibri"/>
          <w:b/>
          <w:sz w:val="28"/>
          <w:szCs w:val="28"/>
        </w:rPr>
        <w:t>25</w:t>
      </w:r>
      <w:r w:rsidRPr="00453F73">
        <w:rPr>
          <w:rFonts w:ascii="Calibri" w:hAnsi="Calibri"/>
          <w:b/>
          <w:sz w:val="28"/>
          <w:szCs w:val="28"/>
        </w:rPr>
        <w:t xml:space="preserve"> marca 2020 r.</w:t>
      </w:r>
    </w:p>
    <w:p w14:paraId="01723C61" w14:textId="77777777" w:rsidR="00815B68" w:rsidRPr="00453F73" w:rsidRDefault="00DA1DD1" w:rsidP="00F61B6A">
      <w:pPr>
        <w:pStyle w:val="Nagwek1"/>
        <w:spacing w:line="360" w:lineRule="auto"/>
        <w:rPr>
          <w:rFonts w:ascii="Calibri" w:hAnsi="Calibri"/>
        </w:rPr>
      </w:pPr>
      <w:r w:rsidRPr="00453F73">
        <w:rPr>
          <w:rFonts w:ascii="Calibri" w:hAnsi="Calibri"/>
        </w:rPr>
        <w:t>w sprawie przesunięcia terminu pobierania opłat za usługi edukacyjne</w:t>
      </w:r>
      <w:r w:rsidR="00824097" w:rsidRPr="00453F73">
        <w:rPr>
          <w:rFonts w:ascii="Calibri" w:hAnsi="Calibri"/>
        </w:rPr>
        <w:br/>
        <w:t xml:space="preserve"> </w:t>
      </w:r>
      <w:bookmarkStart w:id="0" w:name="Bookmark"/>
      <w:r w:rsidR="00824097" w:rsidRPr="00453F73">
        <w:rPr>
          <w:rFonts w:ascii="Calibri" w:hAnsi="Calibri"/>
        </w:rPr>
        <w:t>w semestrze letnim w roku akademickim 2019/2020</w:t>
      </w:r>
    </w:p>
    <w:p w14:paraId="1682FAA1" w14:textId="77777777" w:rsidR="00DA1DD1" w:rsidRPr="00C64B8B" w:rsidRDefault="00DA1DD1" w:rsidP="00F61B6A">
      <w:pPr>
        <w:pStyle w:val="BodySingle"/>
        <w:spacing w:before="240"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 xml:space="preserve">Na podstawie art. 23 w związku z </w:t>
      </w:r>
      <w:bookmarkEnd w:id="0"/>
      <w:r w:rsidRPr="00C64B8B">
        <w:rPr>
          <w:rFonts w:ascii="Calibri" w:hAnsi="Calibri"/>
          <w:color w:val="000000" w:themeColor="text1"/>
          <w:sz w:val="24"/>
          <w:szCs w:val="24"/>
        </w:rPr>
        <w:t>art. 79 ust. 3 ustawy z dnia 20 lipca 2018 r. Prawo o szkolnictwie wyższym i nauce (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 xml:space="preserve">tekst jedn. 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Dz. U. 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 xml:space="preserve">z 2020 r. </w:t>
      </w:r>
      <w:r w:rsidRPr="00C64B8B">
        <w:rPr>
          <w:rFonts w:ascii="Calibri" w:hAnsi="Calibri"/>
          <w:color w:val="000000" w:themeColor="text1"/>
          <w:sz w:val="24"/>
          <w:szCs w:val="24"/>
        </w:rPr>
        <w:t>poz. 8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>5</w:t>
      </w:r>
      <w:r w:rsidRPr="00C64B8B">
        <w:rPr>
          <w:rFonts w:ascii="Calibri" w:hAnsi="Calibri"/>
          <w:color w:val="000000" w:themeColor="text1"/>
          <w:sz w:val="24"/>
          <w:szCs w:val="24"/>
        </w:rPr>
        <w:t>, z późn. zm.), w związku z ustawą z dnia 2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>marca 2020 r. o szczególnych rozwiązaniach związanych z zapobieganiem, przeciwdziałaniem i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>zwalczaniem COVID-19, innych chorób zakaźnych oraz wywołanych nimi sytuacji kryzysowych (D.</w:t>
      </w:r>
      <w:r w:rsidR="003C080E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U. poz. 374) oraz rozporządzeniem Ministra Zdrowia z dnia 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20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marca 2020 r. w sprawie ogłoszenia na obszarze Rzeczpospolitej Polskiej stanu 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epidemii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(D.</w:t>
      </w:r>
      <w:r w:rsidR="00857E8F" w:rsidRPr="00C64B8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U. poz. 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491</w:t>
      </w:r>
      <w:r w:rsidRPr="00C64B8B">
        <w:rPr>
          <w:rFonts w:ascii="Calibri" w:hAnsi="Calibri"/>
          <w:color w:val="000000" w:themeColor="text1"/>
          <w:sz w:val="24"/>
          <w:szCs w:val="24"/>
        </w:rPr>
        <w:t>) zarządza się, co</w:t>
      </w:r>
      <w:r w:rsidR="003C080E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39D5BE78" w14:textId="0CBCF9C6" w:rsidR="00DA1DD1" w:rsidRPr="00C64B8B" w:rsidRDefault="00DA1DD1" w:rsidP="00F61B6A">
      <w:pPr>
        <w:pStyle w:val="paragraf"/>
        <w:rPr>
          <w:color w:val="000000" w:themeColor="text1"/>
          <w:szCs w:val="24"/>
        </w:rPr>
      </w:pPr>
    </w:p>
    <w:p w14:paraId="57F8C79D" w14:textId="77777777" w:rsidR="00824097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 xml:space="preserve">W celu ograniczenia obciążeń finansowych studentów, w sytuacji wprowadzenia na terenie kraju stanu 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 xml:space="preserve">epidemii </w:t>
      </w:r>
      <w:r w:rsidRPr="00C64B8B">
        <w:rPr>
          <w:rFonts w:ascii="Calibri" w:hAnsi="Calibri"/>
          <w:color w:val="000000" w:themeColor="text1"/>
          <w:sz w:val="24"/>
          <w:szCs w:val="24"/>
        </w:rPr>
        <w:t>i zamknięcia wielu miejsc pracy studentów, przesuwa się terminy pobierania opłat za usługi edukacyjne</w:t>
      </w:r>
      <w:bookmarkStart w:id="1" w:name="Bookmark2"/>
      <w:r w:rsidR="00824097"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związane z:</w:t>
      </w:r>
    </w:p>
    <w:p w14:paraId="7E0EB53D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kształceniem na studiach niestacjonarnych;</w:t>
      </w:r>
    </w:p>
    <w:p w14:paraId="154BD1E2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powtarzaniem określonych zajęć dydaktycznych na studiach stacjonarnych z powodu niezadowalających wyników w nauce,</w:t>
      </w:r>
    </w:p>
    <w:p w14:paraId="18BF9429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kształceniem na studiach w językach obcych,</w:t>
      </w:r>
    </w:p>
    <w:p w14:paraId="08A3A032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prowadzeniem zajęć nieobjętych programem studiów;</w:t>
      </w:r>
    </w:p>
    <w:p w14:paraId="08455397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bookmarkStart w:id="2" w:name="_Hlk2149785"/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kształceniem cudzoziemców na studiach stacjonarnych w języku polskim;</w:t>
      </w:r>
      <w:bookmarkEnd w:id="2"/>
    </w:p>
    <w:p w14:paraId="66A48EE3" w14:textId="77777777" w:rsidR="00824097" w:rsidRPr="00C64B8B" w:rsidRDefault="00824097" w:rsidP="00F61B6A">
      <w:pPr>
        <w:numPr>
          <w:ilvl w:val="1"/>
          <w:numId w:val="5"/>
        </w:numPr>
        <w:tabs>
          <w:tab w:val="clear" w:pos="1723"/>
        </w:tabs>
        <w:suppressAutoHyphens w:val="0"/>
        <w:spacing w:line="360" w:lineRule="auto"/>
        <w:ind w:left="567" w:hanging="227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C64B8B">
        <w:rPr>
          <w:rFonts w:ascii="Calibri" w:hAnsi="Calibri"/>
          <w:color w:val="000000" w:themeColor="text1"/>
          <w:sz w:val="24"/>
          <w:szCs w:val="24"/>
          <w:lang w:eastAsia="pl-PL"/>
        </w:rPr>
        <w:t>przeprowadzaniem potwierdzania efektów uczenia się uzyskanych w procesie uczenia się poza systemem studiów.</w:t>
      </w:r>
    </w:p>
    <w:p w14:paraId="520A7BCC" w14:textId="77777777" w:rsidR="00DA1DD1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before="60"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>Opłat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y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za usługi edukacyjne</w:t>
      </w:r>
      <w:r w:rsidR="00824097" w:rsidRPr="00C64B8B">
        <w:rPr>
          <w:rFonts w:ascii="Calibri" w:hAnsi="Calibri"/>
          <w:color w:val="000000" w:themeColor="text1"/>
          <w:sz w:val="24"/>
          <w:szCs w:val="24"/>
        </w:rPr>
        <w:t>, o których mowa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w </w:t>
      </w:r>
      <w:r w:rsidR="00824097" w:rsidRPr="00C64B8B">
        <w:rPr>
          <w:rFonts w:ascii="Calibri" w:hAnsi="Calibri"/>
          <w:color w:val="000000" w:themeColor="text1"/>
          <w:sz w:val="24"/>
          <w:szCs w:val="24"/>
        </w:rPr>
        <w:t>ust.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824097" w:rsidRPr="00C64B8B">
        <w:rPr>
          <w:rFonts w:ascii="Calibri" w:hAnsi="Calibri"/>
          <w:color w:val="000000" w:themeColor="text1"/>
          <w:sz w:val="24"/>
          <w:szCs w:val="24"/>
        </w:rPr>
        <w:t>,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powinn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y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być wniesion</w:t>
      </w:r>
      <w:r w:rsidR="00304753" w:rsidRPr="00C64B8B">
        <w:rPr>
          <w:rFonts w:ascii="Calibri" w:hAnsi="Calibri"/>
          <w:color w:val="000000" w:themeColor="text1"/>
          <w:sz w:val="24"/>
          <w:szCs w:val="24"/>
        </w:rPr>
        <w:t>e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przez studentów:</w:t>
      </w:r>
    </w:p>
    <w:p w14:paraId="773C1912" w14:textId="77777777" w:rsidR="00DA1DD1" w:rsidRPr="00C64B8B" w:rsidRDefault="00DA1DD1" w:rsidP="00F61B6A">
      <w:pPr>
        <w:pStyle w:val="Tekstpodstawowy21"/>
        <w:numPr>
          <w:ilvl w:val="1"/>
          <w:numId w:val="4"/>
        </w:numPr>
        <w:tabs>
          <w:tab w:val="clear" w:pos="1963"/>
        </w:tabs>
        <w:spacing w:line="360" w:lineRule="auto"/>
        <w:ind w:left="567" w:hanging="262"/>
        <w:rPr>
          <w:rFonts w:ascii="Calibri" w:hAnsi="Calibri"/>
          <w:color w:val="000000" w:themeColor="text1"/>
          <w:szCs w:val="24"/>
        </w:rPr>
      </w:pPr>
      <w:r w:rsidRPr="00C64B8B">
        <w:rPr>
          <w:rFonts w:ascii="Calibri" w:hAnsi="Calibri"/>
          <w:color w:val="000000" w:themeColor="text1"/>
          <w:szCs w:val="24"/>
        </w:rPr>
        <w:t>w trzech jednakowych ratach</w:t>
      </w:r>
      <w:r w:rsidR="00002157" w:rsidRPr="00C64B8B">
        <w:rPr>
          <w:rFonts w:ascii="Calibri" w:hAnsi="Calibri"/>
          <w:color w:val="000000" w:themeColor="text1"/>
          <w:szCs w:val="24"/>
        </w:rPr>
        <w:t>:</w:t>
      </w:r>
      <w:r w:rsidRPr="00C64B8B">
        <w:rPr>
          <w:rFonts w:ascii="Calibri" w:hAnsi="Calibri"/>
          <w:color w:val="000000" w:themeColor="text1"/>
          <w:szCs w:val="24"/>
        </w:rPr>
        <w:t xml:space="preserve"> do </w:t>
      </w:r>
      <w:r w:rsidRPr="00C64B8B">
        <w:rPr>
          <w:rFonts w:ascii="Calibri" w:hAnsi="Calibri"/>
          <w:b/>
          <w:bCs/>
          <w:color w:val="000000" w:themeColor="text1"/>
          <w:szCs w:val="24"/>
        </w:rPr>
        <w:t>30 kwietnia, 31 maja i 30 czerwca</w:t>
      </w:r>
      <w:r w:rsidRPr="00C64B8B">
        <w:rPr>
          <w:rFonts w:ascii="Calibri" w:hAnsi="Calibri"/>
          <w:color w:val="000000" w:themeColor="text1"/>
          <w:szCs w:val="24"/>
        </w:rPr>
        <w:t xml:space="preserve"> – za semestr letni;</w:t>
      </w:r>
    </w:p>
    <w:p w14:paraId="579AD12E" w14:textId="77777777" w:rsidR="00DA1DD1" w:rsidRPr="00C64B8B" w:rsidRDefault="00DA1DD1" w:rsidP="00F61B6A">
      <w:pPr>
        <w:pStyle w:val="Tekstpodstawowy21"/>
        <w:keepNext/>
        <w:numPr>
          <w:ilvl w:val="1"/>
          <w:numId w:val="4"/>
        </w:numPr>
        <w:tabs>
          <w:tab w:val="clear" w:pos="1963"/>
        </w:tabs>
        <w:spacing w:line="360" w:lineRule="auto"/>
        <w:ind w:left="567" w:hanging="262"/>
        <w:rPr>
          <w:rFonts w:ascii="Calibri" w:hAnsi="Calibri"/>
          <w:color w:val="000000" w:themeColor="text1"/>
          <w:szCs w:val="24"/>
        </w:rPr>
      </w:pPr>
      <w:r w:rsidRPr="00C64B8B">
        <w:rPr>
          <w:rFonts w:ascii="Calibri" w:hAnsi="Calibri"/>
          <w:color w:val="000000" w:themeColor="text1"/>
          <w:szCs w:val="24"/>
        </w:rPr>
        <w:t xml:space="preserve">jednorazowo do </w:t>
      </w:r>
      <w:r w:rsidRPr="00C64B8B">
        <w:rPr>
          <w:rFonts w:ascii="Calibri" w:hAnsi="Calibri"/>
          <w:b/>
          <w:bCs/>
          <w:color w:val="000000" w:themeColor="text1"/>
          <w:szCs w:val="24"/>
        </w:rPr>
        <w:t>30 kwietnia</w:t>
      </w:r>
      <w:r w:rsidRPr="00C64B8B">
        <w:rPr>
          <w:rFonts w:ascii="Calibri" w:hAnsi="Calibri"/>
          <w:color w:val="000000" w:themeColor="text1"/>
          <w:szCs w:val="24"/>
        </w:rPr>
        <w:t xml:space="preserve"> – za semestr letni, jeżeli całkowita wysokość opłaty jest niższa od 200 zł.</w:t>
      </w:r>
    </w:p>
    <w:p w14:paraId="6957C579" w14:textId="74A4E3FB" w:rsidR="00DA1DD1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 xml:space="preserve">Studenci studiów niestacjonarnych, którym wyznaczono termin </w:t>
      </w:r>
      <w:r w:rsidR="00044CCC" w:rsidRPr="00C64B8B">
        <w:rPr>
          <w:rFonts w:ascii="Calibri" w:hAnsi="Calibri"/>
          <w:color w:val="000000" w:themeColor="text1"/>
          <w:sz w:val="24"/>
          <w:szCs w:val="24"/>
        </w:rPr>
        <w:t xml:space="preserve">po 12 marca wniesienia </w:t>
      </w:r>
      <w:r w:rsidRPr="00C64B8B">
        <w:rPr>
          <w:rFonts w:ascii="Calibri" w:hAnsi="Calibri"/>
          <w:color w:val="000000" w:themeColor="text1"/>
          <w:sz w:val="24"/>
          <w:szCs w:val="24"/>
        </w:rPr>
        <w:t>opłaty</w:t>
      </w:r>
      <w:r w:rsidR="00044CCC" w:rsidRPr="00C64B8B">
        <w:rPr>
          <w:rFonts w:ascii="Calibri" w:hAnsi="Calibri"/>
          <w:color w:val="000000" w:themeColor="text1"/>
          <w:sz w:val="24"/>
          <w:szCs w:val="24"/>
        </w:rPr>
        <w:t>, o której mowa w ust. 1 pkt 1,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uzyskują przesunięcie terminu wnoszenia tych opłat do</w:t>
      </w:r>
      <w:r w:rsid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>30</w:t>
      </w:r>
      <w:r w:rsidR="00234A24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>kwietnia</w:t>
      </w:r>
      <w:r w:rsidR="00782CEF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>2020 r.</w:t>
      </w:r>
    </w:p>
    <w:p w14:paraId="673FA525" w14:textId="77777777" w:rsidR="00DA1DD1" w:rsidRPr="00C64B8B" w:rsidRDefault="00DB48C7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lastRenderedPageBreak/>
        <w:t>Dotychczas nieuiszczone o</w:t>
      </w:r>
      <w:r w:rsidR="00DA1DD1" w:rsidRPr="00C64B8B">
        <w:rPr>
          <w:rFonts w:ascii="Calibri" w:hAnsi="Calibri"/>
          <w:color w:val="000000" w:themeColor="text1"/>
          <w:sz w:val="24"/>
          <w:szCs w:val="24"/>
        </w:rPr>
        <w:t>płaty</w:t>
      </w:r>
      <w:r w:rsidR="00044CCC" w:rsidRPr="00C64B8B">
        <w:rPr>
          <w:rFonts w:ascii="Calibri" w:hAnsi="Calibri"/>
          <w:color w:val="000000" w:themeColor="text1"/>
          <w:sz w:val="24"/>
          <w:szCs w:val="24"/>
        </w:rPr>
        <w:t>, o których mowa w ust. 1 pkt 2–6</w:t>
      </w:r>
      <w:r w:rsidR="00DA1DD1" w:rsidRPr="00C64B8B">
        <w:rPr>
          <w:rFonts w:ascii="Calibri" w:hAnsi="Calibri"/>
          <w:color w:val="000000" w:themeColor="text1"/>
          <w:sz w:val="24"/>
          <w:szCs w:val="24"/>
        </w:rPr>
        <w:t>, mogą być wniesione w</w:t>
      </w:r>
      <w:r w:rsidR="00234A24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="00DA1DD1" w:rsidRPr="00C64B8B">
        <w:rPr>
          <w:rFonts w:ascii="Calibri" w:hAnsi="Calibri"/>
          <w:color w:val="000000" w:themeColor="text1"/>
          <w:sz w:val="24"/>
          <w:szCs w:val="24"/>
        </w:rPr>
        <w:t>terminie do 30 kwietnia 2020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 xml:space="preserve"> r</w:t>
      </w:r>
      <w:r w:rsidR="00DA1DD1" w:rsidRPr="00C64B8B">
        <w:rPr>
          <w:rFonts w:ascii="Calibri" w:hAnsi="Calibri"/>
          <w:color w:val="000000" w:themeColor="text1"/>
          <w:sz w:val="24"/>
          <w:szCs w:val="24"/>
        </w:rPr>
        <w:t>.</w:t>
      </w:r>
    </w:p>
    <w:p w14:paraId="0FAF75C1" w14:textId="77777777" w:rsidR="00DA1DD1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>W szczególnie uzasadnionych indywidualnych przypadkach ostateczną decyzję o terminie wniesienia opłaty podejmuje dziekan.</w:t>
      </w:r>
    </w:p>
    <w:p w14:paraId="59452383" w14:textId="77777777" w:rsidR="00DA1DD1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>Zmiana terminu wnoszenia opłat nie skutkuje windykacją i jest w sposób automatyczny</w:t>
      </w:r>
      <w:r w:rsidR="00782CEF" w:rsidRPr="00C64B8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aktualizowana w systemach informatycznych </w:t>
      </w:r>
      <w:r w:rsidR="00002157" w:rsidRPr="00C64B8B">
        <w:rPr>
          <w:rFonts w:ascii="Calibri" w:hAnsi="Calibri"/>
          <w:color w:val="000000" w:themeColor="text1"/>
          <w:sz w:val="24"/>
          <w:szCs w:val="24"/>
        </w:rPr>
        <w:t>U</w:t>
      </w:r>
      <w:r w:rsidRPr="00C64B8B">
        <w:rPr>
          <w:rFonts w:ascii="Calibri" w:hAnsi="Calibri"/>
          <w:color w:val="000000" w:themeColor="text1"/>
          <w:sz w:val="24"/>
          <w:szCs w:val="24"/>
        </w:rPr>
        <w:t>czelni.</w:t>
      </w:r>
      <w:bookmarkEnd w:id="1"/>
      <w:r w:rsidRPr="00C64B8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4C702D7C" w14:textId="77777777" w:rsidR="00DA1DD1" w:rsidRPr="00C64B8B" w:rsidRDefault="00DA1DD1" w:rsidP="00F61B6A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340" w:hanging="340"/>
        <w:rPr>
          <w:rFonts w:ascii="Calibri" w:hAnsi="Calibri"/>
          <w:b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>Opłaty za kształcenie na studiach podyplomowych lub innych formach pobierane są w</w:t>
      </w:r>
      <w:r w:rsidR="00453F73" w:rsidRPr="00C64B8B">
        <w:rPr>
          <w:rFonts w:ascii="Calibri" w:hAnsi="Calibri"/>
          <w:color w:val="000000" w:themeColor="text1"/>
          <w:sz w:val="24"/>
          <w:szCs w:val="24"/>
        </w:rPr>
        <w:t> 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terminach ustalonych przez kierownika studiów podyplomowych lub </w:t>
      </w:r>
      <w:r w:rsidR="00AA527A" w:rsidRPr="00C64B8B">
        <w:rPr>
          <w:rFonts w:ascii="Calibri" w:hAnsi="Calibri"/>
          <w:color w:val="000000" w:themeColor="text1"/>
          <w:sz w:val="24"/>
          <w:szCs w:val="24"/>
        </w:rPr>
        <w:t xml:space="preserve">kierownika </w:t>
      </w:r>
      <w:r w:rsidRPr="00C64B8B">
        <w:rPr>
          <w:rFonts w:ascii="Calibri" w:hAnsi="Calibri"/>
          <w:color w:val="000000" w:themeColor="text1"/>
          <w:sz w:val="24"/>
          <w:szCs w:val="24"/>
        </w:rPr>
        <w:t>inn</w:t>
      </w:r>
      <w:r w:rsidR="00AA527A" w:rsidRPr="00C64B8B">
        <w:rPr>
          <w:rFonts w:ascii="Calibri" w:hAnsi="Calibri"/>
          <w:color w:val="000000" w:themeColor="text1"/>
          <w:sz w:val="24"/>
          <w:szCs w:val="24"/>
        </w:rPr>
        <w:t>ej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form</w:t>
      </w:r>
      <w:r w:rsidR="00AA527A" w:rsidRPr="00C64B8B">
        <w:rPr>
          <w:rFonts w:ascii="Calibri" w:hAnsi="Calibri"/>
          <w:color w:val="000000" w:themeColor="text1"/>
          <w:sz w:val="24"/>
          <w:szCs w:val="24"/>
        </w:rPr>
        <w:t>y</w:t>
      </w:r>
      <w:r w:rsidRPr="00C64B8B">
        <w:rPr>
          <w:rFonts w:ascii="Calibri" w:hAnsi="Calibri"/>
          <w:color w:val="000000" w:themeColor="text1"/>
          <w:sz w:val="24"/>
          <w:szCs w:val="24"/>
        </w:rPr>
        <w:t xml:space="preserve"> kształcenia.</w:t>
      </w:r>
    </w:p>
    <w:p w14:paraId="068DC02C" w14:textId="6430BF95" w:rsidR="00DA1DD1" w:rsidRPr="00C64B8B" w:rsidRDefault="00DA1DD1" w:rsidP="00F61B6A">
      <w:pPr>
        <w:pStyle w:val="paragraf"/>
        <w:rPr>
          <w:color w:val="000000" w:themeColor="text1"/>
          <w:szCs w:val="24"/>
        </w:rPr>
      </w:pPr>
    </w:p>
    <w:p w14:paraId="07120E76" w14:textId="77777777" w:rsidR="0085792E" w:rsidRPr="00C64B8B" w:rsidRDefault="00DA1DD1" w:rsidP="00F61B6A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64B8B">
        <w:rPr>
          <w:rFonts w:ascii="Calibri" w:hAnsi="Calibri"/>
          <w:color w:val="000000" w:themeColor="text1"/>
          <w:sz w:val="24"/>
          <w:szCs w:val="24"/>
        </w:rPr>
        <w:t xml:space="preserve">Zarządzenie wchodzi w życie z dniem podpisania. </w:t>
      </w:r>
      <w:bookmarkStart w:id="3" w:name="Bookmark3"/>
      <w:bookmarkEnd w:id="3"/>
    </w:p>
    <w:p w14:paraId="5AC17A5D" w14:textId="77777777" w:rsidR="00DA1DD1" w:rsidRPr="00453F73" w:rsidRDefault="00DA1DD1" w:rsidP="00F61B6A">
      <w:pPr>
        <w:spacing w:after="60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453F73">
        <w:rPr>
          <w:rFonts w:ascii="Calibri" w:hAnsi="Calibri"/>
          <w:sz w:val="24"/>
          <w:szCs w:val="24"/>
        </w:rPr>
        <w:t>Rektor</w:t>
      </w:r>
      <w:r w:rsidR="00F61B6A" w:rsidRPr="00453F73">
        <w:rPr>
          <w:rFonts w:ascii="Calibri" w:hAnsi="Calibri"/>
          <w:sz w:val="24"/>
          <w:szCs w:val="24"/>
        </w:rPr>
        <w:br/>
      </w:r>
      <w:r w:rsidR="00002157" w:rsidRPr="00453F73">
        <w:rPr>
          <w:rFonts w:ascii="Calibri" w:hAnsi="Calibri"/>
          <w:sz w:val="24"/>
          <w:szCs w:val="24"/>
        </w:rPr>
        <w:t>dr hab. inż. Jacek Wróbel, prof. ZUT</w:t>
      </w:r>
    </w:p>
    <w:sectPr w:rsidR="00DA1DD1" w:rsidRPr="00453F73" w:rsidSect="00234A24">
      <w:footerReference w:type="even" r:id="rId8"/>
      <w:footerReference w:type="default" r:id="rId9"/>
      <w:pgSz w:w="11906" w:h="16838"/>
      <w:pgMar w:top="851" w:right="851" w:bottom="510" w:left="1418" w:header="709" w:footer="442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EEA3" w14:textId="77777777" w:rsidR="00750234" w:rsidRDefault="00750234">
      <w:r>
        <w:separator/>
      </w:r>
    </w:p>
  </w:endnote>
  <w:endnote w:type="continuationSeparator" w:id="0">
    <w:p w14:paraId="1C06BF37" w14:textId="77777777" w:rsidR="00750234" w:rsidRDefault="007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137" w14:textId="77777777" w:rsidR="00DA1DD1" w:rsidRDefault="00DA1DD1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A0B6" w14:textId="77777777" w:rsidR="00DA1DD1" w:rsidRDefault="00DA1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815D" w14:textId="77777777" w:rsidR="00750234" w:rsidRDefault="00750234">
      <w:r>
        <w:separator/>
      </w:r>
    </w:p>
  </w:footnote>
  <w:footnote w:type="continuationSeparator" w:id="0">
    <w:p w14:paraId="71AF762C" w14:textId="77777777" w:rsidR="00750234" w:rsidRDefault="0075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Letter"/>
      <w:lvlText w:val="%2.%3)"/>
      <w:lvlJc w:val="left"/>
      <w:pPr>
        <w:tabs>
          <w:tab w:val="num" w:pos="2623"/>
        </w:tabs>
        <w:ind w:left="2623" w:hanging="360"/>
      </w:pPr>
    </w:lvl>
    <w:lvl w:ilvl="3">
      <w:start w:val="8"/>
      <w:numFmt w:val="decimal"/>
      <w:lvlText w:val="%2.%3.%4."/>
      <w:lvlJc w:val="left"/>
      <w:pPr>
        <w:tabs>
          <w:tab w:val="num" w:pos="3200"/>
        </w:tabs>
        <w:ind w:left="320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374"/>
        </w:tabs>
        <w:ind w:left="437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1DAF7959"/>
    <w:multiLevelType w:val="multilevel"/>
    <w:tmpl w:val="5956D2F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63"/>
        </w:tabs>
        <w:ind w:left="1963" w:hanging="360"/>
      </w:pPr>
    </w:lvl>
    <w:lvl w:ilvl="2">
      <w:start w:val="1"/>
      <w:numFmt w:val="decimal"/>
      <w:lvlText w:val="%3)"/>
      <w:lvlJc w:val="left"/>
      <w:pPr>
        <w:tabs>
          <w:tab w:val="num" w:pos="2863"/>
        </w:tabs>
        <w:ind w:left="2863" w:hanging="360"/>
      </w:pPr>
    </w:lvl>
    <w:lvl w:ilvl="3">
      <w:start w:val="8"/>
      <w:numFmt w:val="decimal"/>
      <w:lvlText w:val="%2.%3.%4."/>
      <w:lvlJc w:val="left"/>
      <w:pPr>
        <w:tabs>
          <w:tab w:val="num" w:pos="3440"/>
        </w:tabs>
        <w:ind w:left="344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614"/>
        </w:tabs>
        <w:ind w:left="461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843"/>
        </w:tabs>
        <w:ind w:left="4843" w:hanging="180"/>
      </w:pPr>
    </w:lvl>
    <w:lvl w:ilvl="6">
      <w:start w:val="1"/>
      <w:numFmt w:val="decimal"/>
      <w:lvlText w:val="%2.%3.%4.%5.%6.%7."/>
      <w:lvlJc w:val="left"/>
      <w:pPr>
        <w:tabs>
          <w:tab w:val="num" w:pos="5563"/>
        </w:tabs>
        <w:ind w:left="55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83"/>
        </w:tabs>
        <w:ind w:left="62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03"/>
        </w:tabs>
        <w:ind w:left="7003" w:hanging="180"/>
      </w:pPr>
    </w:lvl>
  </w:abstractNum>
  <w:abstractNum w:abstractNumId="3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488B50C4"/>
    <w:multiLevelType w:val="hybridMultilevel"/>
    <w:tmpl w:val="61C06F86"/>
    <w:lvl w:ilvl="0" w:tplc="FD8A1F3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79B601D6"/>
    <w:multiLevelType w:val="multilevel"/>
    <w:tmpl w:val="3E303A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63"/>
        </w:tabs>
        <w:ind w:left="1963" w:hanging="360"/>
      </w:pPr>
    </w:lvl>
    <w:lvl w:ilvl="2">
      <w:start w:val="1"/>
      <w:numFmt w:val="decimal"/>
      <w:lvlText w:val="%3)"/>
      <w:lvlJc w:val="left"/>
      <w:pPr>
        <w:tabs>
          <w:tab w:val="num" w:pos="2863"/>
        </w:tabs>
        <w:ind w:left="2863" w:hanging="360"/>
      </w:pPr>
    </w:lvl>
    <w:lvl w:ilvl="3">
      <w:start w:val="8"/>
      <w:numFmt w:val="decimal"/>
      <w:lvlText w:val="%2.%3.%4."/>
      <w:lvlJc w:val="left"/>
      <w:pPr>
        <w:tabs>
          <w:tab w:val="num" w:pos="3440"/>
        </w:tabs>
        <w:ind w:left="344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614"/>
        </w:tabs>
        <w:ind w:left="461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843"/>
        </w:tabs>
        <w:ind w:left="4843" w:hanging="180"/>
      </w:pPr>
    </w:lvl>
    <w:lvl w:ilvl="6">
      <w:start w:val="1"/>
      <w:numFmt w:val="decimal"/>
      <w:lvlText w:val="%2.%3.%4.%5.%6.%7."/>
      <w:lvlJc w:val="left"/>
      <w:pPr>
        <w:tabs>
          <w:tab w:val="num" w:pos="5563"/>
        </w:tabs>
        <w:ind w:left="55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83"/>
        </w:tabs>
        <w:ind w:left="62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03"/>
        </w:tabs>
        <w:ind w:left="700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7"/>
    <w:rsid w:val="00002157"/>
    <w:rsid w:val="00044CCC"/>
    <w:rsid w:val="000C4843"/>
    <w:rsid w:val="000D32C2"/>
    <w:rsid w:val="0012446D"/>
    <w:rsid w:val="001653E3"/>
    <w:rsid w:val="00171FE3"/>
    <w:rsid w:val="00172672"/>
    <w:rsid w:val="00234A24"/>
    <w:rsid w:val="002434F3"/>
    <w:rsid w:val="00304753"/>
    <w:rsid w:val="003C080E"/>
    <w:rsid w:val="00444689"/>
    <w:rsid w:val="00453EF8"/>
    <w:rsid w:val="00453F73"/>
    <w:rsid w:val="004A67F7"/>
    <w:rsid w:val="006E2A7A"/>
    <w:rsid w:val="00703454"/>
    <w:rsid w:val="00750234"/>
    <w:rsid w:val="00782CEF"/>
    <w:rsid w:val="00815B20"/>
    <w:rsid w:val="00815B68"/>
    <w:rsid w:val="00824097"/>
    <w:rsid w:val="0085792E"/>
    <w:rsid w:val="00857E8F"/>
    <w:rsid w:val="008D75F7"/>
    <w:rsid w:val="00933048"/>
    <w:rsid w:val="00A55DE3"/>
    <w:rsid w:val="00A75FE7"/>
    <w:rsid w:val="00AA527A"/>
    <w:rsid w:val="00AD49C5"/>
    <w:rsid w:val="00B94790"/>
    <w:rsid w:val="00C64B8B"/>
    <w:rsid w:val="00CF0AC7"/>
    <w:rsid w:val="00D00A6C"/>
    <w:rsid w:val="00DA1DD1"/>
    <w:rsid w:val="00DA481A"/>
    <w:rsid w:val="00DB48C7"/>
    <w:rsid w:val="00DC7814"/>
    <w:rsid w:val="00E070C5"/>
    <w:rsid w:val="00F61B6A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976DFB"/>
  <w15:chartTrackingRefBased/>
  <w15:docId w15:val="{192D6E9B-4056-4647-BFF1-4104C25F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857E8F"/>
    <w:pPr>
      <w:keepNext/>
      <w:numPr>
        <w:numId w:val="1"/>
      </w:numPr>
      <w:ind w:left="0" w:firstLine="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umerstrony1">
    <w:name w:val="Numer strony1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b w:val="0"/>
      <w:i w:val="0"/>
      <w:sz w:val="24"/>
      <w:szCs w:val="24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b w:val="0"/>
      <w:i w:val="0"/>
      <w:color w:val="00000A"/>
      <w:sz w:val="24"/>
      <w:szCs w:val="24"/>
    </w:rPr>
  </w:style>
  <w:style w:type="character" w:customStyle="1" w:styleId="ListLabel7">
    <w:name w:val="ListLabel 7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284"/>
      </w:tabs>
      <w:spacing w:after="24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</w:style>
  <w:style w:type="paragraph" w:customStyle="1" w:styleId="NumberList">
    <w:name w:val="Number List"/>
    <w:basedOn w:val="Normalny"/>
  </w:style>
  <w:style w:type="paragraph" w:customStyle="1" w:styleId="paragr">
    <w:name w:val="paragr"/>
    <w:basedOn w:val="Normalny"/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rzypisudolnego1">
    <w:name w:val="Tekst przypisu dolnego1"/>
    <w:basedOn w:val="Normalny"/>
  </w:style>
  <w:style w:type="paragraph" w:customStyle="1" w:styleId="Tekstpodstawowy31">
    <w:name w:val="Tekst podstawowy 31"/>
    <w:basedOn w:val="Normalny"/>
    <w:rPr>
      <w:b/>
      <w:sz w:val="24"/>
    </w:r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rmalnyWeb1">
    <w:name w:val="Normalny (Web)1"/>
    <w:basedOn w:val="Normalny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24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446D"/>
  </w:style>
  <w:style w:type="character" w:customStyle="1" w:styleId="TekstkomentarzaZnak1">
    <w:name w:val="Tekst komentarza Znak1"/>
    <w:link w:val="Tekstkomentarza"/>
    <w:uiPriority w:val="99"/>
    <w:semiHidden/>
    <w:rsid w:val="001244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2446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2446D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2446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2446D"/>
    <w:rPr>
      <w:rFonts w:ascii="Segoe UI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0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24097"/>
    <w:rPr>
      <w:lang w:eastAsia="ar-SA"/>
    </w:rPr>
  </w:style>
  <w:style w:type="paragraph" w:customStyle="1" w:styleId="paragraf">
    <w:name w:val="paragraf"/>
    <w:basedOn w:val="Nagwek2"/>
    <w:next w:val="Normalny"/>
    <w:link w:val="paragrafZnak"/>
    <w:qFormat/>
    <w:rsid w:val="00F61B6A"/>
    <w:pPr>
      <w:keepLines/>
      <w:numPr>
        <w:ilvl w:val="0"/>
        <w:numId w:val="6"/>
      </w:numPr>
      <w:suppressAutoHyphens w:val="0"/>
      <w:spacing w:before="120" w:line="360" w:lineRule="auto"/>
      <w:ind w:left="0" w:firstLine="426"/>
    </w:pPr>
    <w:rPr>
      <w:rFonts w:ascii="Calibri" w:hAnsi="Calibri"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F61B6A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3A4A-0951-4B39-B195-45FA94F3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 ZUT z dnia 25 marca 2020 r. w sprawie przesunięcia terminu pobierania opłat za usługi edukacyjne  w semestrze letnim w roku akademickim 2019/2020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 ZUT z dnia 25 marca 2020 r. w sprawie przesunięcia terminu pobierania opłat za usługi edukacyjne  w semestrze letnim w roku akademickim 2019/2020</dc:title>
  <dc:subject>zarządzenie nr 36 z 1997 r. (tekst jednolity)</dc:subject>
  <dc:creator>serafin</dc:creator>
  <cp:keywords/>
  <cp:lastModifiedBy>Marta Buśko</cp:lastModifiedBy>
  <cp:revision>5</cp:revision>
  <cp:lastPrinted>2020-08-03T12:58:00Z</cp:lastPrinted>
  <dcterms:created xsi:type="dcterms:W3CDTF">2020-07-03T12:15:00Z</dcterms:created>
  <dcterms:modified xsi:type="dcterms:W3CDTF">2021-11-04T11:50:00Z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