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4496" w14:textId="77777777" w:rsidR="007D0BF8" w:rsidRPr="00103B6A" w:rsidRDefault="00103B6A" w:rsidP="00103B6A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03B6A">
        <w:rPr>
          <w:rFonts w:ascii="Calibri" w:hAnsi="Calibri"/>
          <w:b/>
          <w:sz w:val="32"/>
          <w:szCs w:val="32"/>
        </w:rPr>
        <w:t xml:space="preserve">Zarządzenie nr </w:t>
      </w:r>
      <w:r w:rsidR="00746C25" w:rsidRPr="00103B6A">
        <w:rPr>
          <w:rFonts w:ascii="Calibri" w:hAnsi="Calibri"/>
          <w:b/>
          <w:sz w:val="32"/>
          <w:szCs w:val="32"/>
        </w:rPr>
        <w:t>130</w:t>
      </w:r>
    </w:p>
    <w:p w14:paraId="3D4A1D16" w14:textId="77777777" w:rsidR="007D0BF8" w:rsidRPr="00103B6A" w:rsidRDefault="007D0BF8" w:rsidP="00103B6A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03B6A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103B6A" w:rsidRPr="00103B6A">
        <w:rPr>
          <w:rFonts w:ascii="Calibri" w:hAnsi="Calibri"/>
          <w:b/>
          <w:sz w:val="28"/>
          <w:szCs w:val="28"/>
        </w:rPr>
        <w:br/>
      </w:r>
      <w:r w:rsidRPr="00103B6A">
        <w:rPr>
          <w:rFonts w:ascii="Calibri" w:hAnsi="Calibri"/>
          <w:b/>
          <w:sz w:val="28"/>
          <w:szCs w:val="28"/>
        </w:rPr>
        <w:t>z dnia</w:t>
      </w:r>
      <w:r w:rsidR="00746C25" w:rsidRPr="00103B6A">
        <w:rPr>
          <w:rFonts w:ascii="Calibri" w:hAnsi="Calibri"/>
          <w:b/>
          <w:sz w:val="28"/>
          <w:szCs w:val="28"/>
        </w:rPr>
        <w:t xml:space="preserve"> 21</w:t>
      </w:r>
      <w:r w:rsidRPr="00103B6A">
        <w:rPr>
          <w:rFonts w:ascii="Calibri" w:hAnsi="Calibri"/>
          <w:b/>
          <w:sz w:val="28"/>
          <w:szCs w:val="28"/>
        </w:rPr>
        <w:t xml:space="preserve"> września 2020 r.</w:t>
      </w:r>
    </w:p>
    <w:p w14:paraId="5F4AB2BA" w14:textId="77777777" w:rsidR="007D0BF8" w:rsidRPr="00103B6A" w:rsidRDefault="007D0BF8" w:rsidP="00103B6A">
      <w:pPr>
        <w:pStyle w:val="Tytu"/>
        <w:spacing w:line="360" w:lineRule="auto"/>
        <w:rPr>
          <w:rFonts w:ascii="Calibri" w:hAnsi="Calibri"/>
        </w:rPr>
      </w:pPr>
      <w:r w:rsidRPr="00103B6A">
        <w:rPr>
          <w:rFonts w:ascii="Calibri" w:hAnsi="Calibri"/>
        </w:rPr>
        <w:t xml:space="preserve">zmieniające zarządzenie nr 87 Rektora ZUT z dnia 17 czerwca 2020 r. </w:t>
      </w:r>
      <w:r w:rsidR="00103B6A" w:rsidRPr="00103B6A">
        <w:rPr>
          <w:rFonts w:ascii="Calibri" w:hAnsi="Calibri"/>
        </w:rPr>
        <w:br/>
      </w:r>
      <w:r w:rsidRPr="00103B6A">
        <w:rPr>
          <w:rFonts w:ascii="Calibri" w:hAnsi="Calibri"/>
        </w:rPr>
        <w:t xml:space="preserve">w sprawie podziału oraz zasad podziału subwencji </w:t>
      </w:r>
      <w:r w:rsidRPr="00103B6A">
        <w:rPr>
          <w:rFonts w:ascii="Calibri" w:hAnsi="Calibri"/>
        </w:rPr>
        <w:br/>
        <w:t xml:space="preserve">na utrzymanie i rozwój potencjału dydaktycznego i badawczego </w:t>
      </w:r>
      <w:r w:rsidRPr="00103B6A">
        <w:rPr>
          <w:rFonts w:ascii="Calibri" w:hAnsi="Calibri"/>
        </w:rPr>
        <w:br/>
        <w:t xml:space="preserve">w Zachodniopomorskim Uniwersytecie Technologicznym w Szczecinie </w:t>
      </w:r>
      <w:r w:rsidRPr="00103B6A">
        <w:rPr>
          <w:rFonts w:ascii="Calibri" w:hAnsi="Calibri"/>
        </w:rPr>
        <w:br/>
        <w:t>na rok 2020</w:t>
      </w:r>
    </w:p>
    <w:p w14:paraId="4FB76C53" w14:textId="77777777" w:rsidR="007D0BF8" w:rsidRPr="0085543D" w:rsidRDefault="00331AFA" w:rsidP="00103B6A">
      <w:pPr>
        <w:pStyle w:val="podstawaprawna"/>
        <w:rPr>
          <w:color w:val="000000" w:themeColor="text1"/>
        </w:rPr>
      </w:pPr>
      <w:r w:rsidRPr="0085543D">
        <w:rPr>
          <w:color w:val="000000" w:themeColor="text1"/>
        </w:rPr>
        <w:t>Na podstawie art. 23 ust. 1 i 2 pkt 10 ustawy z dnia 20 lipca 2018 r. Prawo o szkolnictwie wyższym i nauce (tekst jedn. Dz. U. z 2020 r. poz. 85, z późn. zm.) w związku z rozporządzeniem Ministra Nauki i Szkolnictwa Wyższego z dnia 9 września 2019 r. w sprawie sposobu podziału środków finansowych na utrzymanie i rozwój potencjału dydaktycznego oraz potencjału badawczego, znajdujących się w dyspozycji ministra właściwego do spraw szkolnictwa wyższego i nauki oraz</w:t>
      </w:r>
      <w:r w:rsidR="00103B6A" w:rsidRPr="0085543D">
        <w:rPr>
          <w:color w:val="000000" w:themeColor="text1"/>
        </w:rPr>
        <w:t> </w:t>
      </w:r>
      <w:r w:rsidRPr="0085543D">
        <w:rPr>
          <w:color w:val="000000" w:themeColor="text1"/>
        </w:rPr>
        <w:t>na</w:t>
      </w:r>
      <w:r w:rsidR="00103B6A" w:rsidRPr="0085543D">
        <w:rPr>
          <w:color w:val="000000" w:themeColor="text1"/>
        </w:rPr>
        <w:t> </w:t>
      </w:r>
      <w:r w:rsidRPr="0085543D">
        <w:rPr>
          <w:color w:val="000000" w:themeColor="text1"/>
        </w:rPr>
        <w:t xml:space="preserve">zadania związane z utrzymaniem powietrznych statków szkolnych i specjalistycznych ośrodków szkoleniowych kadr powietrznych (Dz. U. poz. 1838) oraz z komunikatem </w:t>
      </w:r>
      <w:proofErr w:type="spellStart"/>
      <w:r w:rsidRPr="0085543D">
        <w:rPr>
          <w:color w:val="000000" w:themeColor="text1"/>
        </w:rPr>
        <w:t>MNiSW</w:t>
      </w:r>
      <w:proofErr w:type="spellEnd"/>
      <w:r w:rsidRPr="0085543D">
        <w:rPr>
          <w:color w:val="000000" w:themeColor="text1"/>
        </w:rPr>
        <w:t xml:space="preserve"> z dnia</w:t>
      </w:r>
      <w:r w:rsidR="00103B6A" w:rsidRPr="0085543D">
        <w:rPr>
          <w:color w:val="000000" w:themeColor="text1"/>
        </w:rPr>
        <w:t> </w:t>
      </w:r>
      <w:r w:rsidRPr="0085543D">
        <w:rPr>
          <w:color w:val="000000" w:themeColor="text1"/>
        </w:rPr>
        <w:t>26 maja 2020 r. o wysokości subwencji ze środków finansowych na utrzymanie i rozwój potencjału dydaktycznego i badawczego przyznanych na rok 2020 zarządza się,</w:t>
      </w:r>
      <w:r w:rsidR="007D0BF8" w:rsidRPr="0085543D">
        <w:rPr>
          <w:color w:val="000000" w:themeColor="text1"/>
        </w:rPr>
        <w:t xml:space="preserve"> co następuje:</w:t>
      </w:r>
    </w:p>
    <w:p w14:paraId="4AC3956D" w14:textId="5C1EB5CD" w:rsidR="007D0BF8" w:rsidRPr="0085543D" w:rsidRDefault="007D0BF8" w:rsidP="00103B6A">
      <w:pPr>
        <w:pStyle w:val="paragraf"/>
        <w:spacing w:after="240"/>
        <w:rPr>
          <w:b w:val="0"/>
          <w:bCs/>
          <w:color w:val="000000" w:themeColor="text1"/>
        </w:rPr>
      </w:pPr>
    </w:p>
    <w:p w14:paraId="4C48584E" w14:textId="693B4A6E" w:rsidR="007D0BF8" w:rsidRPr="0085543D" w:rsidRDefault="007D0BF8" w:rsidP="00103B6A">
      <w:pPr>
        <w:pStyle w:val="akapit"/>
        <w:spacing w:line="360" w:lineRule="auto"/>
        <w:rPr>
          <w:color w:val="000000" w:themeColor="text1"/>
          <w:szCs w:val="24"/>
        </w:rPr>
      </w:pPr>
      <w:r w:rsidRPr="0085543D">
        <w:rPr>
          <w:color w:val="000000" w:themeColor="text1"/>
          <w:szCs w:val="24"/>
        </w:rPr>
        <w:t xml:space="preserve">W zarządzeniu nr 87 Rektora ZUT z dnia 17 czerwca 2020 r. w sprawie podziału oraz zasad podziału subwencji na utrzymanie i rozwój potencjału dydaktycznego i badawczego w Zachodniopomorskim Uniwersytecie Technologicznym w Szczecinie na rok 2020 </w:t>
      </w:r>
      <w:r w:rsidR="00B60606" w:rsidRPr="0085543D">
        <w:rPr>
          <w:color w:val="000000" w:themeColor="text1"/>
          <w:szCs w:val="24"/>
        </w:rPr>
        <w:t xml:space="preserve">w załączniku nr 1 </w:t>
      </w:r>
      <w:r w:rsidR="001E7256" w:rsidRPr="0085543D">
        <w:rPr>
          <w:color w:val="000000" w:themeColor="text1"/>
          <w:szCs w:val="24"/>
        </w:rPr>
        <w:t xml:space="preserve">Algorytm ZUT w </w:t>
      </w:r>
      <w:r w:rsidR="00B60606" w:rsidRPr="0085543D">
        <w:rPr>
          <w:color w:val="000000" w:themeColor="text1"/>
          <w:szCs w:val="24"/>
        </w:rPr>
        <w:t>§</w:t>
      </w:r>
      <w:r w:rsidR="00103B6A" w:rsidRPr="0085543D">
        <w:rPr>
          <w:color w:val="000000" w:themeColor="text1"/>
          <w:szCs w:val="24"/>
        </w:rPr>
        <w:t xml:space="preserve"> </w:t>
      </w:r>
      <w:r w:rsidR="00B60606" w:rsidRPr="0085543D">
        <w:rPr>
          <w:color w:val="000000" w:themeColor="text1"/>
          <w:szCs w:val="24"/>
        </w:rPr>
        <w:t>1 ust. 3</w:t>
      </w:r>
      <w:r w:rsidRPr="0085543D">
        <w:rPr>
          <w:color w:val="000000" w:themeColor="text1"/>
          <w:szCs w:val="24"/>
        </w:rPr>
        <w:t xml:space="preserve"> otrzymuje brzmienie:</w:t>
      </w:r>
    </w:p>
    <w:p w14:paraId="0E707CC9" w14:textId="77777777" w:rsidR="007D0BF8" w:rsidRPr="0085543D" w:rsidRDefault="007D0BF8" w:rsidP="00103B6A">
      <w:pPr>
        <w:pStyle w:val="akapit"/>
        <w:numPr>
          <w:ilvl w:val="0"/>
          <w:numId w:val="7"/>
        </w:numPr>
        <w:spacing w:after="240" w:line="360" w:lineRule="auto"/>
        <w:ind w:left="426" w:hanging="142"/>
        <w:rPr>
          <w:color w:val="000000" w:themeColor="text1"/>
          <w:szCs w:val="24"/>
        </w:rPr>
      </w:pPr>
      <w:r w:rsidRPr="0085543D">
        <w:rPr>
          <w:color w:val="000000" w:themeColor="text1"/>
          <w:szCs w:val="24"/>
        </w:rPr>
        <w:t>„Zlecenie przez wydział zajęć dydaktycznych innemu wydziałowi odbywa się w oparciu o pisemną umowę pomiędzy dziekanami współpracujących wydziałów.”</w:t>
      </w:r>
      <w:r w:rsidR="00B60606" w:rsidRPr="0085543D">
        <w:rPr>
          <w:color w:val="000000" w:themeColor="text1"/>
          <w:szCs w:val="24"/>
        </w:rPr>
        <w:t>.</w:t>
      </w:r>
    </w:p>
    <w:p w14:paraId="0C6FD356" w14:textId="28B2D4AF" w:rsidR="00802230" w:rsidRPr="0085543D" w:rsidRDefault="00802230" w:rsidP="00103B6A">
      <w:pPr>
        <w:pStyle w:val="paragraf"/>
        <w:spacing w:after="240"/>
        <w:rPr>
          <w:color w:val="000000" w:themeColor="text1"/>
        </w:rPr>
      </w:pPr>
    </w:p>
    <w:p w14:paraId="390B3314" w14:textId="77777777" w:rsidR="00802230" w:rsidRPr="0085543D" w:rsidRDefault="00802230" w:rsidP="00103B6A">
      <w:pPr>
        <w:pStyle w:val="1wyliczanka"/>
        <w:numPr>
          <w:ilvl w:val="0"/>
          <w:numId w:val="0"/>
        </w:numPr>
        <w:ind w:left="340" w:hanging="340"/>
        <w:rPr>
          <w:color w:val="000000" w:themeColor="text1"/>
        </w:rPr>
      </w:pPr>
      <w:r w:rsidRPr="0085543D">
        <w:rPr>
          <w:color w:val="000000" w:themeColor="text1"/>
        </w:rPr>
        <w:t>Zarządzenie wchodzi w życie z dniem podpisania.</w:t>
      </w:r>
    </w:p>
    <w:p w14:paraId="7DB35FE0" w14:textId="77777777" w:rsidR="006A7AB5" w:rsidRPr="00103B6A" w:rsidRDefault="006A7AB5" w:rsidP="00103B6A">
      <w:pPr>
        <w:spacing w:before="840" w:line="720" w:lineRule="auto"/>
        <w:ind w:left="4536"/>
        <w:jc w:val="center"/>
        <w:rPr>
          <w:rFonts w:ascii="Calibri" w:hAnsi="Calibri"/>
          <w:szCs w:val="24"/>
        </w:rPr>
      </w:pPr>
      <w:r w:rsidRPr="00103B6A">
        <w:rPr>
          <w:rFonts w:ascii="Calibri" w:hAnsi="Calibri"/>
          <w:szCs w:val="24"/>
        </w:rPr>
        <w:t>Rektor</w:t>
      </w:r>
      <w:r w:rsidR="00103B6A" w:rsidRPr="00103B6A">
        <w:rPr>
          <w:rFonts w:ascii="Calibri" w:hAnsi="Calibri"/>
          <w:szCs w:val="24"/>
        </w:rPr>
        <w:br/>
      </w:r>
      <w:r w:rsidRPr="00103B6A">
        <w:rPr>
          <w:rFonts w:ascii="Calibri" w:hAnsi="Calibri"/>
          <w:szCs w:val="24"/>
        </w:rPr>
        <w:t>dr hab. inż. Jacek Wróbel, prof. ZUT</w:t>
      </w:r>
    </w:p>
    <w:sectPr w:rsidR="006A7AB5" w:rsidRPr="00103B6A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2376CC9"/>
    <w:multiLevelType w:val="hybridMultilevel"/>
    <w:tmpl w:val="4E2C6514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C30"/>
    <w:multiLevelType w:val="hybridMultilevel"/>
    <w:tmpl w:val="8DDEFD8C"/>
    <w:lvl w:ilvl="0" w:tplc="142298DA">
      <w:start w:val="3"/>
      <w:numFmt w:val="decimal"/>
      <w:lvlText w:val="%1."/>
      <w:lvlJc w:val="righ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B50C4"/>
    <w:multiLevelType w:val="hybridMultilevel"/>
    <w:tmpl w:val="C48E1504"/>
    <w:lvl w:ilvl="0" w:tplc="87B246F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F8"/>
    <w:rsid w:val="00103B6A"/>
    <w:rsid w:val="001E7256"/>
    <w:rsid w:val="003127D0"/>
    <w:rsid w:val="00331AFA"/>
    <w:rsid w:val="0035145D"/>
    <w:rsid w:val="004E6BD8"/>
    <w:rsid w:val="006A7AB5"/>
    <w:rsid w:val="006D551E"/>
    <w:rsid w:val="00746C25"/>
    <w:rsid w:val="007D0BF8"/>
    <w:rsid w:val="00802230"/>
    <w:rsid w:val="0085543D"/>
    <w:rsid w:val="008B220D"/>
    <w:rsid w:val="00912E24"/>
    <w:rsid w:val="00B60606"/>
    <w:rsid w:val="00C002FA"/>
    <w:rsid w:val="00D759D6"/>
    <w:rsid w:val="00E57DA2"/>
    <w:rsid w:val="00E63082"/>
    <w:rsid w:val="00EA35A4"/>
    <w:rsid w:val="00EA6C62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B379"/>
  <w15:chartTrackingRefBased/>
  <w15:docId w15:val="{C6FBFD6A-2B21-4B55-91F8-572745F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F8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103B6A"/>
    <w:pPr>
      <w:spacing w:line="276" w:lineRule="auto"/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103B6A"/>
    <w:rPr>
      <w:rFonts w:eastAsia="Times New Roman" w:cs="Times New Roman"/>
      <w:b/>
      <w:sz w:val="24"/>
      <w:szCs w:val="20"/>
      <w:lang w:eastAsia="pl-PL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03B6A"/>
    <w:pPr>
      <w:numPr>
        <w:ilvl w:val="1"/>
      </w:numPr>
      <w:spacing w:before="240" w:after="240" w:line="360" w:lineRule="auto"/>
    </w:pPr>
    <w:rPr>
      <w:rFonts w:ascii="Calibri" w:hAnsi="Calibri"/>
      <w:szCs w:val="24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103B6A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03B6A"/>
    <w:rPr>
      <w:rFonts w:ascii="Calibri" w:eastAsia="Times New Roman" w:hAnsi="Calibri" w:cs="Times New Roman"/>
      <w:sz w:val="24"/>
      <w:szCs w:val="24"/>
    </w:rPr>
  </w:style>
  <w:style w:type="character" w:customStyle="1" w:styleId="paragrafZnak">
    <w:name w:val="paragraf Znak"/>
    <w:basedOn w:val="podstawaprawnaZnak"/>
    <w:link w:val="paragraf"/>
    <w:rsid w:val="00103B6A"/>
    <w:rPr>
      <w:rFonts w:ascii="Calibri" w:eastAsia="Times New Roman" w:hAnsi="Calibri" w:cs="Times New Roman"/>
      <w:b/>
      <w:sz w:val="24"/>
      <w:szCs w:val="24"/>
    </w:rPr>
  </w:style>
  <w:style w:type="paragraph" w:customStyle="1" w:styleId="akapit">
    <w:name w:val="akapit"/>
    <w:basedOn w:val="Normalny"/>
    <w:next w:val="Normalny"/>
    <w:link w:val="akapitZnak"/>
    <w:qFormat/>
    <w:rsid w:val="00103B6A"/>
    <w:pPr>
      <w:spacing w:line="276" w:lineRule="auto"/>
    </w:pPr>
    <w:rPr>
      <w:rFonts w:ascii="Calibri" w:hAnsi="Calibri"/>
      <w:bCs/>
      <w:lang w:eastAsia="en-US"/>
    </w:rPr>
  </w:style>
  <w:style w:type="character" w:customStyle="1" w:styleId="akapitZnak">
    <w:name w:val="akapit Znak"/>
    <w:basedOn w:val="Domylnaczcionkaakapitu"/>
    <w:link w:val="akapit"/>
    <w:rsid w:val="00103B6A"/>
    <w:rPr>
      <w:rFonts w:ascii="Calibri" w:eastAsia="Times New Roman" w:hAnsi="Calibri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7D0BF8"/>
    <w:pPr>
      <w:ind w:left="708"/>
    </w:pPr>
  </w:style>
  <w:style w:type="paragraph" w:customStyle="1" w:styleId="1wyliczanka">
    <w:name w:val="1. wyliczanka"/>
    <w:basedOn w:val="paragraf"/>
    <w:link w:val="1wyliczankaZnak"/>
    <w:qFormat/>
    <w:rsid w:val="00103B6A"/>
    <w:pPr>
      <w:numPr>
        <w:numId w:val="4"/>
      </w:numPr>
      <w:spacing w:before="0" w:after="60"/>
      <w:ind w:left="340" w:hanging="340"/>
      <w:jc w:val="both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03B6A"/>
    <w:rPr>
      <w:rFonts w:ascii="Calibri" w:eastAsia="Times New Roman" w:hAnsi="Calibri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5CF8-95F7-4049-A282-7BDEC4FD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 Rektora ZUT w Szczecinie z dnia 21 września 2020 r. zmieniające zarządzenie nr 87 Rektora ZUT z dnia 17 czerwca 2020 r. w sprawie podziału oraz zasad podziału subwencji na utrzymanie i rozwój potencjału dydaktycznego i badawczego w Zachodniopomorskim Uniwersytecie Technologicznym w Szczecinie na rok 2020</dc:title>
  <dc:subject/>
  <dc:creator>ZUT</dc:creator>
  <cp:keywords/>
  <dc:description/>
  <cp:lastModifiedBy>Marta Buśko</cp:lastModifiedBy>
  <cp:revision>5</cp:revision>
  <dcterms:created xsi:type="dcterms:W3CDTF">2020-09-22T08:25:00Z</dcterms:created>
  <dcterms:modified xsi:type="dcterms:W3CDTF">2021-11-05T08:53:00Z</dcterms:modified>
</cp:coreProperties>
</file>