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FF99" w14:textId="5840C08E" w:rsidR="003207F5" w:rsidRPr="00943061" w:rsidRDefault="00943061" w:rsidP="00943061">
      <w:pPr>
        <w:spacing w:before="0" w:line="360" w:lineRule="auto"/>
        <w:jc w:val="center"/>
        <w:outlineLvl w:val="0"/>
        <w:rPr>
          <w:rFonts w:ascii="Calibri" w:hAnsi="Calibri" w:cs="Times New Roman"/>
          <w:b/>
          <w:sz w:val="32"/>
        </w:rPr>
      </w:pPr>
      <w:r w:rsidRPr="00943061">
        <w:rPr>
          <w:rFonts w:ascii="Calibri" w:hAnsi="Calibri" w:cs="Times New Roman"/>
          <w:b/>
          <w:sz w:val="32"/>
        </w:rPr>
        <w:t xml:space="preserve">Zarządzenie nr </w:t>
      </w:r>
      <w:r w:rsidR="00317A6D" w:rsidRPr="00943061">
        <w:rPr>
          <w:rFonts w:ascii="Calibri" w:hAnsi="Calibri" w:cs="Times New Roman"/>
          <w:b/>
          <w:sz w:val="32"/>
        </w:rPr>
        <w:t>63</w:t>
      </w:r>
    </w:p>
    <w:p w14:paraId="686067EB" w14:textId="616A13F9" w:rsidR="003207F5" w:rsidRPr="00943061" w:rsidRDefault="003207F5" w:rsidP="00943061">
      <w:pPr>
        <w:spacing w:before="0" w:line="360" w:lineRule="auto"/>
        <w:jc w:val="center"/>
        <w:outlineLvl w:val="1"/>
        <w:rPr>
          <w:rFonts w:ascii="Calibri" w:hAnsi="Calibri" w:cs="Times New Roman"/>
          <w:b/>
          <w:sz w:val="28"/>
          <w:szCs w:val="28"/>
        </w:rPr>
      </w:pPr>
      <w:r w:rsidRPr="00943061">
        <w:rPr>
          <w:rFonts w:ascii="Calibri" w:hAnsi="Calibri" w:cs="Times New Roman"/>
          <w:b/>
          <w:sz w:val="28"/>
          <w:szCs w:val="28"/>
        </w:rPr>
        <w:t>Rektora Zachodniopomorskiego Uniwersytetu Technologicznego w Szczecinie</w:t>
      </w:r>
      <w:r w:rsidR="00943061">
        <w:rPr>
          <w:rFonts w:ascii="Calibri" w:hAnsi="Calibri" w:cs="Times New Roman"/>
          <w:b/>
          <w:sz w:val="28"/>
          <w:szCs w:val="28"/>
        </w:rPr>
        <w:br/>
      </w:r>
      <w:r w:rsidRPr="00943061">
        <w:rPr>
          <w:rFonts w:ascii="Calibri" w:hAnsi="Calibri" w:cs="Times New Roman"/>
          <w:b/>
          <w:sz w:val="28"/>
          <w:szCs w:val="28"/>
        </w:rPr>
        <w:t xml:space="preserve">z dnia </w:t>
      </w:r>
      <w:r w:rsidR="00971483" w:rsidRPr="00943061">
        <w:rPr>
          <w:rFonts w:ascii="Calibri" w:hAnsi="Calibri" w:cs="Times New Roman"/>
          <w:b/>
          <w:sz w:val="28"/>
          <w:szCs w:val="28"/>
        </w:rPr>
        <w:t>23</w:t>
      </w:r>
      <w:r w:rsidR="000D6BA7" w:rsidRPr="00943061">
        <w:rPr>
          <w:rFonts w:ascii="Calibri" w:hAnsi="Calibri" w:cs="Times New Roman"/>
          <w:b/>
          <w:sz w:val="28"/>
          <w:szCs w:val="28"/>
        </w:rPr>
        <w:t xml:space="preserve"> lipca 2018</w:t>
      </w:r>
      <w:r w:rsidRPr="00943061">
        <w:rPr>
          <w:rFonts w:ascii="Calibri" w:hAnsi="Calibri" w:cs="Times New Roman"/>
          <w:b/>
          <w:sz w:val="28"/>
          <w:szCs w:val="28"/>
        </w:rPr>
        <w:t xml:space="preserve"> r.</w:t>
      </w:r>
    </w:p>
    <w:p w14:paraId="5EC4BA76" w14:textId="6A784446" w:rsidR="003207F5" w:rsidRPr="00943061" w:rsidRDefault="000D6BA7" w:rsidP="00943061">
      <w:pPr>
        <w:spacing w:before="0" w:after="100" w:afterAutospacing="1" w:line="360" w:lineRule="auto"/>
        <w:jc w:val="center"/>
        <w:outlineLvl w:val="0"/>
        <w:rPr>
          <w:rFonts w:ascii="Calibri" w:hAnsi="Calibri" w:cs="Times New Roman"/>
        </w:rPr>
      </w:pPr>
      <w:r w:rsidRPr="00943061">
        <w:rPr>
          <w:rFonts w:ascii="Calibri" w:hAnsi="Calibri" w:cs="Times New Roman"/>
          <w:b/>
          <w:sz w:val="24"/>
        </w:rPr>
        <w:t>zmieniające zarządzenie nr 44 Rekt</w:t>
      </w:r>
      <w:r w:rsidR="00971483" w:rsidRPr="00943061">
        <w:rPr>
          <w:rFonts w:ascii="Calibri" w:hAnsi="Calibri" w:cs="Times New Roman"/>
          <w:b/>
          <w:sz w:val="24"/>
        </w:rPr>
        <w:t>ora ZUT z dnia 16 lipca 2017 r. </w:t>
      </w:r>
      <w:r w:rsidR="00943061">
        <w:rPr>
          <w:rFonts w:ascii="Calibri" w:hAnsi="Calibri" w:cs="Times New Roman"/>
          <w:b/>
          <w:sz w:val="24"/>
        </w:rPr>
        <w:br/>
      </w:r>
      <w:r w:rsidR="003207F5" w:rsidRPr="00943061">
        <w:rPr>
          <w:rFonts w:ascii="Calibri" w:hAnsi="Calibri" w:cs="Times New Roman"/>
          <w:b/>
          <w:sz w:val="24"/>
        </w:rPr>
        <w:t xml:space="preserve">w sprawie </w:t>
      </w:r>
      <w:r w:rsidR="00A567A3" w:rsidRPr="00943061">
        <w:rPr>
          <w:rFonts w:ascii="Calibri" w:hAnsi="Calibri" w:cs="Times New Roman"/>
          <w:b/>
          <w:sz w:val="24"/>
        </w:rPr>
        <w:t>z</w:t>
      </w:r>
      <w:r w:rsidR="006640E9" w:rsidRPr="00943061">
        <w:rPr>
          <w:rFonts w:ascii="Calibri" w:hAnsi="Calibri" w:cs="Times New Roman"/>
          <w:b/>
          <w:sz w:val="24"/>
        </w:rPr>
        <w:t xml:space="preserve">asad </w:t>
      </w:r>
      <w:r w:rsidR="003207F5" w:rsidRPr="00943061">
        <w:rPr>
          <w:rFonts w:ascii="Calibri" w:hAnsi="Calibri" w:cs="Times New Roman"/>
          <w:b/>
          <w:sz w:val="24"/>
        </w:rPr>
        <w:t xml:space="preserve">finansowania </w:t>
      </w:r>
      <w:r w:rsidR="00480537" w:rsidRPr="00943061">
        <w:rPr>
          <w:rFonts w:ascii="Calibri" w:hAnsi="Calibri" w:cs="Times New Roman"/>
          <w:b/>
          <w:sz w:val="24"/>
        </w:rPr>
        <w:t xml:space="preserve">i uruchamiania </w:t>
      </w:r>
      <w:r w:rsidR="00971483" w:rsidRPr="00943061">
        <w:rPr>
          <w:rFonts w:ascii="Calibri" w:hAnsi="Calibri" w:cs="Times New Roman"/>
          <w:b/>
          <w:sz w:val="24"/>
        </w:rPr>
        <w:t>inwestycji budowlanych w </w:t>
      </w:r>
      <w:r w:rsidR="003207F5" w:rsidRPr="00943061">
        <w:rPr>
          <w:rFonts w:ascii="Calibri" w:hAnsi="Calibri" w:cs="Times New Roman"/>
          <w:b/>
          <w:sz w:val="24"/>
        </w:rPr>
        <w:t>Zachodniopomorskim Uniwersytecie Technologicznym w Szczecinie</w:t>
      </w:r>
    </w:p>
    <w:p w14:paraId="5F3DD6CE" w14:textId="36F31BA6" w:rsidR="003207F5" w:rsidRPr="00FD7D14" w:rsidRDefault="00432398" w:rsidP="00943061">
      <w:pPr>
        <w:spacing w:before="0" w:line="360" w:lineRule="auto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Na podstawie art. 66 </w:t>
      </w:r>
      <w:r w:rsidR="00D164A8" w:rsidRPr="00FD7D14">
        <w:rPr>
          <w:rFonts w:ascii="Calibri" w:hAnsi="Calibri" w:cs="Times New Roman"/>
          <w:color w:val="000000" w:themeColor="text1"/>
          <w:sz w:val="24"/>
          <w:szCs w:val="24"/>
        </w:rPr>
        <w:t>ustawy z dnia 27 lipca 2005 r.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Prawo o szkolnictwie wyższym 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br/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(</w:t>
      </w:r>
      <w:r w:rsidR="008A3074" w:rsidRPr="00FD7D14">
        <w:rPr>
          <w:rFonts w:ascii="Calibri" w:hAnsi="Calibri" w:cs="Times New Roman"/>
          <w:color w:val="000000" w:themeColor="text1"/>
          <w:sz w:val="24"/>
          <w:szCs w:val="24"/>
        </w:rPr>
        <w:t>tekst jedn. Dz. </w:t>
      </w:r>
      <w:r w:rsidR="00D164A8" w:rsidRPr="00FD7D14">
        <w:rPr>
          <w:rFonts w:ascii="Calibri" w:hAnsi="Calibri" w:cs="Times New Roman"/>
          <w:color w:val="000000" w:themeColor="text1"/>
          <w:sz w:val="24"/>
          <w:szCs w:val="24"/>
        </w:rPr>
        <w:t>U. z</w:t>
      </w:r>
      <w:r w:rsidR="0089479A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201</w:t>
      </w:r>
      <w:r w:rsidR="0089479A" w:rsidRPr="00FD7D14">
        <w:rPr>
          <w:rFonts w:ascii="Calibri" w:hAnsi="Calibri" w:cs="Times New Roman"/>
          <w:color w:val="000000" w:themeColor="text1"/>
          <w:sz w:val="24"/>
          <w:szCs w:val="24"/>
        </w:rPr>
        <w:t>7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r. poz. </w:t>
      </w:r>
      <w:r w:rsidR="0089479A" w:rsidRPr="00FD7D14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18</w:t>
      </w:r>
      <w:r w:rsidR="0089479A" w:rsidRPr="00FD7D14">
        <w:rPr>
          <w:rFonts w:ascii="Calibri" w:hAnsi="Calibri" w:cs="Times New Roman"/>
          <w:color w:val="000000" w:themeColor="text1"/>
          <w:sz w:val="24"/>
          <w:szCs w:val="24"/>
        </w:rPr>
        <w:t>3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z póź. zm.) oraz </w:t>
      </w:r>
      <w:r w:rsidR="003207F5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„Strategii Rozwoju Zachodniopomorskiego </w:t>
      </w:r>
      <w:r w:rsidR="00E80C50" w:rsidRPr="00FD7D14">
        <w:rPr>
          <w:rFonts w:ascii="Calibri" w:hAnsi="Calibri" w:cs="Times New Roman"/>
          <w:color w:val="000000" w:themeColor="text1"/>
          <w:sz w:val="24"/>
          <w:szCs w:val="24"/>
        </w:rPr>
        <w:t>Uniwersytetu Technologicznego w </w:t>
      </w:r>
      <w:r w:rsidR="003207F5" w:rsidRPr="00FD7D14">
        <w:rPr>
          <w:rFonts w:ascii="Calibri" w:hAnsi="Calibri" w:cs="Times New Roman"/>
          <w:color w:val="000000" w:themeColor="text1"/>
          <w:sz w:val="24"/>
          <w:szCs w:val="24"/>
        </w:rPr>
        <w:t>Szczecinie na lata 2011-2020</w:t>
      </w:r>
      <w:r w:rsidR="00D032D0" w:rsidRPr="00FD7D14">
        <w:rPr>
          <w:rFonts w:ascii="Calibri" w:hAnsi="Calibri" w:cs="Times New Roman"/>
          <w:color w:val="000000" w:themeColor="text1"/>
          <w:sz w:val="24"/>
          <w:szCs w:val="24"/>
        </w:rPr>
        <w:t>”</w:t>
      </w:r>
      <w:r w:rsidR="003207F5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C5099A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wprowadzonej uchwałą 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br/>
      </w:r>
      <w:r w:rsidR="00C5099A" w:rsidRPr="00FD7D14">
        <w:rPr>
          <w:rFonts w:ascii="Calibri" w:hAnsi="Calibri" w:cs="Times New Roman"/>
          <w:color w:val="000000" w:themeColor="text1"/>
          <w:sz w:val="24"/>
          <w:szCs w:val="24"/>
        </w:rPr>
        <w:t>nr 3</w:t>
      </w:r>
      <w:r w:rsidR="008A3074" w:rsidRPr="00FD7D14">
        <w:rPr>
          <w:rFonts w:ascii="Calibri" w:hAnsi="Calibri" w:cs="Times New Roman"/>
          <w:color w:val="000000" w:themeColor="text1"/>
          <w:sz w:val="24"/>
          <w:szCs w:val="24"/>
        </w:rPr>
        <w:t>0 Senatu ZUT z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> </w:t>
      </w:r>
      <w:r w:rsidR="008A3074" w:rsidRPr="00FD7D14">
        <w:rPr>
          <w:rFonts w:ascii="Calibri" w:hAnsi="Calibri" w:cs="Times New Roman"/>
          <w:color w:val="000000" w:themeColor="text1"/>
          <w:sz w:val="24"/>
          <w:szCs w:val="24"/>
        </w:rPr>
        <w:t>dnia 27 </w:t>
      </w:r>
      <w:r w:rsidR="00C5099A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czerwca 2011 r., </w:t>
      </w:r>
      <w:r w:rsidR="003207F5" w:rsidRPr="00FD7D14">
        <w:rPr>
          <w:rFonts w:ascii="Calibri" w:hAnsi="Calibri" w:cs="Times New Roman"/>
          <w:color w:val="000000" w:themeColor="text1"/>
          <w:sz w:val="24"/>
          <w:szCs w:val="24"/>
        </w:rPr>
        <w:t>zarządza się co następuje:</w:t>
      </w:r>
    </w:p>
    <w:p w14:paraId="14502991" w14:textId="7B3EE16E" w:rsidR="003207F5" w:rsidRPr="00FD7D14" w:rsidRDefault="003207F5" w:rsidP="00943061">
      <w:pPr>
        <w:pStyle w:val="Nagwek2"/>
        <w:rPr>
          <w:color w:val="000000" w:themeColor="text1"/>
        </w:rPr>
      </w:pPr>
      <w:r w:rsidRPr="00FD7D14">
        <w:rPr>
          <w:color w:val="000000" w:themeColor="text1"/>
        </w:rPr>
        <w:t>§</w:t>
      </w:r>
      <w:r w:rsidR="00FD7D14" w:rsidRPr="00FD7D14">
        <w:rPr>
          <w:color w:val="000000" w:themeColor="text1"/>
        </w:rPr>
        <w:t xml:space="preserve"> </w:t>
      </w:r>
      <w:r w:rsidRPr="00FD7D14">
        <w:rPr>
          <w:color w:val="000000" w:themeColor="text1"/>
        </w:rPr>
        <w:t>1.</w:t>
      </w:r>
    </w:p>
    <w:p w14:paraId="62576CA0" w14:textId="77777777" w:rsidR="000D6BA7" w:rsidRPr="00FD7D14" w:rsidRDefault="000D6BA7" w:rsidP="00943061">
      <w:pPr>
        <w:spacing w:before="0" w:line="360" w:lineRule="auto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W zarządzeniu nr 44 Rektora ZUT z dnia 16 lipca 2017 r.</w:t>
      </w:r>
      <w:r w:rsidR="00971483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w sprawie zasad finansowania i 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uruchamiania inwestycji budowlanych w Zachodniopomorskim </w:t>
      </w:r>
      <w:r w:rsidR="00971483" w:rsidRPr="00FD7D14">
        <w:rPr>
          <w:rFonts w:ascii="Calibri" w:hAnsi="Calibri" w:cs="Times New Roman"/>
          <w:color w:val="000000" w:themeColor="text1"/>
          <w:sz w:val="24"/>
          <w:szCs w:val="24"/>
        </w:rPr>
        <w:t>Uniwersytecie Technologicznym w 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Szczecinie wprowadza się następujące zmiany:</w:t>
      </w:r>
    </w:p>
    <w:p w14:paraId="4EEF24DE" w14:textId="5DCC21F0" w:rsidR="007352F6" w:rsidRPr="00FD7D14" w:rsidRDefault="007352F6" w:rsidP="002B479D">
      <w:pPr>
        <w:pStyle w:val="Akapitzlist"/>
        <w:numPr>
          <w:ilvl w:val="0"/>
          <w:numId w:val="26"/>
        </w:numPr>
        <w:spacing w:line="360" w:lineRule="auto"/>
        <w:ind w:left="284" w:hanging="284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w § 4 pkt 1 i 3 otrzymują brzmienie:</w:t>
      </w:r>
    </w:p>
    <w:p w14:paraId="47664452" w14:textId="2F5D90BA" w:rsidR="00452871" w:rsidRPr="00FD7D14" w:rsidRDefault="007352F6" w:rsidP="00943061">
      <w:pPr>
        <w:spacing w:before="60" w:line="360" w:lineRule="auto"/>
        <w:ind w:left="567" w:hanging="425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„1)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>jednostka organizacyjna posiadająca promesę inwestycyjną</w:t>
      </w:r>
      <w:r w:rsidR="003120EF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lub/i środki własne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zgłasza </w:t>
      </w:r>
      <w:r w:rsidR="00590929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kanclerzowi 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>inwestycję do Planu inwestycji, zgodnie z obowiązującą procedurą</w:t>
      </w:r>
      <w:r w:rsidR="003120EF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P/2</w:t>
      </w:r>
      <w:r w:rsidR="00F36DF7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wprowadzoną zarządzeniem kanclerza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>;</w:t>
      </w:r>
    </w:p>
    <w:p w14:paraId="3957D84E" w14:textId="38BF0BD5" w:rsidR="00452871" w:rsidRPr="00FD7D14" w:rsidRDefault="007352F6" w:rsidP="00943061">
      <w:pPr>
        <w:spacing w:before="60" w:line="360" w:lineRule="auto"/>
        <w:ind w:left="567" w:hanging="283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3)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>warunkiem uruchomienia inwestycji wpisanej do Planu inwestycji lub jej zamkniętego etapu jest zabezpieczenie wystarczających środków finansowych</w:t>
      </w:r>
      <w:r w:rsidR="003120EF" w:rsidRPr="00FD7D14">
        <w:rPr>
          <w:rFonts w:ascii="Calibri" w:hAnsi="Calibri" w:cs="Times New Roman"/>
          <w:color w:val="000000" w:themeColor="text1"/>
          <w:sz w:val="24"/>
          <w:szCs w:val="24"/>
        </w:rPr>
        <w:t>: własnych,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z zewnątrz lub</w:t>
      </w:r>
      <w:r w:rsidR="00D652AC" w:rsidRPr="00FD7D14">
        <w:rPr>
          <w:rFonts w:ascii="Calibri" w:hAnsi="Calibri" w:cs="Times New Roman"/>
          <w:color w:val="000000" w:themeColor="text1"/>
          <w:sz w:val="24"/>
          <w:szCs w:val="24"/>
        </w:rPr>
        <w:t> </w:t>
      </w:r>
      <w:r w:rsidR="00452871" w:rsidRPr="00FD7D14">
        <w:rPr>
          <w:rFonts w:ascii="Calibri" w:hAnsi="Calibri" w:cs="Times New Roman"/>
          <w:color w:val="000000" w:themeColor="text1"/>
          <w:sz w:val="24"/>
          <w:szCs w:val="24"/>
        </w:rPr>
        <w:t>zagwarantowanych promesą inwestycyjną.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”;</w:t>
      </w:r>
    </w:p>
    <w:p w14:paraId="7A11EBFE" w14:textId="0790EC76" w:rsidR="007352F6" w:rsidRPr="00FD7D14" w:rsidRDefault="007352F6" w:rsidP="002B479D">
      <w:pPr>
        <w:pStyle w:val="Akapitzlist"/>
        <w:numPr>
          <w:ilvl w:val="0"/>
          <w:numId w:val="26"/>
        </w:numPr>
        <w:spacing w:line="360" w:lineRule="auto"/>
        <w:ind w:left="284" w:hanging="284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w §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5 pkt 3 otrzymuje brzmienie:</w:t>
      </w:r>
    </w:p>
    <w:p w14:paraId="1C97704D" w14:textId="060EF9C7" w:rsidR="007352F6" w:rsidRPr="00FD7D14" w:rsidRDefault="007352F6" w:rsidP="00943061">
      <w:pPr>
        <w:spacing w:before="60" w:line="360" w:lineRule="auto"/>
        <w:ind w:left="567" w:hanging="425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„3)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w przypadku pozyskania przez jednostkę organizacyjną środków z zewnątrz na inwestycję finansowaną ze środków promesy inwestycyjnej</w:t>
      </w:r>
      <w:r w:rsidR="00545415" w:rsidRPr="00FD7D14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545415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zmniejszoną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wysokość</w:t>
      </w:r>
      <w:r w:rsidR="00545415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promesy inwestycyjnej</w:t>
      </w:r>
      <w:r w:rsidR="00545415" w:rsidRPr="00FD7D14">
        <w:rPr>
          <w:rFonts w:ascii="Calibri" w:hAnsi="Calibri" w:cs="Times New Roman"/>
          <w:color w:val="000000" w:themeColor="text1"/>
          <w:sz w:val="24"/>
          <w:szCs w:val="24"/>
        </w:rPr>
        <w:t>, o której mowa w pkt 2,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zwiększa się o kwotę uzyskanej dotacji zewnętrznej na</w:t>
      </w:r>
      <w:r w:rsidR="00D652AC" w:rsidRPr="00FD7D14">
        <w:rPr>
          <w:rFonts w:ascii="Calibri" w:hAnsi="Calibri" w:cs="Times New Roman"/>
          <w:color w:val="000000" w:themeColor="text1"/>
          <w:sz w:val="24"/>
          <w:szCs w:val="24"/>
        </w:rPr>
        <w:t> 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tę inwestycję, jednak nie więcej niż do wysokości </w:t>
      </w:r>
      <w:r w:rsidR="001F6BF5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przyznanej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promesy </w:t>
      </w:r>
      <w:r w:rsidR="001F6BF5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zgodnie z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§</w:t>
      </w:r>
      <w:r w:rsidR="002F20D2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3.”;</w:t>
      </w:r>
    </w:p>
    <w:p w14:paraId="78BC0BB7" w14:textId="0939B630" w:rsidR="007352F6" w:rsidRPr="00FD7D14" w:rsidRDefault="007352F6" w:rsidP="002B479D">
      <w:pPr>
        <w:pStyle w:val="Akapitzlist"/>
        <w:numPr>
          <w:ilvl w:val="0"/>
          <w:numId w:val="26"/>
        </w:numPr>
        <w:spacing w:line="360" w:lineRule="auto"/>
        <w:ind w:left="284" w:hanging="284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w §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6 ust. 2 otrzymuje brzmienie:</w:t>
      </w:r>
    </w:p>
    <w:p w14:paraId="611A7233" w14:textId="67B7E6BD" w:rsidR="00F26B3E" w:rsidRPr="00FD7D14" w:rsidRDefault="007352F6" w:rsidP="00943061">
      <w:pPr>
        <w:spacing w:before="60" w:line="360" w:lineRule="auto"/>
        <w:ind w:left="568" w:hanging="284"/>
        <w:jc w:val="left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„2)</w:t>
      </w:r>
      <w:r w:rsidR="00FD7D14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E049CE" w:rsidRPr="00FD7D14">
        <w:rPr>
          <w:rFonts w:ascii="Calibri" w:hAnsi="Calibri" w:cs="Times New Roman"/>
          <w:color w:val="000000" w:themeColor="text1"/>
          <w:sz w:val="24"/>
          <w:szCs w:val="24"/>
        </w:rPr>
        <w:t>Kanclerz</w:t>
      </w:r>
      <w:r w:rsidR="00F26B3E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 koordynuje </w:t>
      </w:r>
      <w:r w:rsidR="000F765C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uruchamianie i rozliczanie </w:t>
      </w:r>
      <w:r w:rsidR="00F26B3E" w:rsidRPr="00FD7D14">
        <w:rPr>
          <w:rFonts w:ascii="Calibri" w:hAnsi="Calibri" w:cs="Times New Roman"/>
          <w:color w:val="000000" w:themeColor="text1"/>
          <w:sz w:val="24"/>
          <w:szCs w:val="24"/>
        </w:rPr>
        <w:t xml:space="preserve">środków promesy inwestycyjnej </w:t>
      </w:r>
      <w:r w:rsidR="000F765C" w:rsidRPr="00FD7D14">
        <w:rPr>
          <w:rFonts w:ascii="Calibri" w:hAnsi="Calibri" w:cs="Times New Roman"/>
          <w:color w:val="000000" w:themeColor="text1"/>
          <w:sz w:val="24"/>
          <w:szCs w:val="24"/>
        </w:rPr>
        <w:t>zgodnie z </w:t>
      </w:r>
      <w:r w:rsidR="00F26B3E" w:rsidRPr="00FD7D14">
        <w:rPr>
          <w:rFonts w:ascii="Calibri" w:hAnsi="Calibri" w:cs="Times New Roman"/>
          <w:color w:val="000000" w:themeColor="text1"/>
          <w:sz w:val="24"/>
          <w:szCs w:val="24"/>
        </w:rPr>
        <w:t>zasadami określonymi w niniejszym zarządzeniu</w:t>
      </w:r>
      <w:r w:rsidR="00FA0381" w:rsidRPr="00FD7D14">
        <w:rPr>
          <w:rFonts w:ascii="Calibri" w:hAnsi="Calibri" w:cs="Times New Roman"/>
          <w:color w:val="000000" w:themeColor="text1"/>
          <w:sz w:val="24"/>
          <w:szCs w:val="24"/>
        </w:rPr>
        <w:t>.</w:t>
      </w: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”.</w:t>
      </w:r>
    </w:p>
    <w:p w14:paraId="51980881" w14:textId="135D9C16" w:rsidR="003207F5" w:rsidRPr="00FD7D14" w:rsidRDefault="00A567A3" w:rsidP="00943061">
      <w:pPr>
        <w:pStyle w:val="Nagwek2"/>
        <w:keepNext/>
        <w:rPr>
          <w:color w:val="000000" w:themeColor="text1"/>
        </w:rPr>
      </w:pPr>
      <w:r w:rsidRPr="00FD7D14">
        <w:rPr>
          <w:color w:val="000000" w:themeColor="text1"/>
        </w:rPr>
        <w:lastRenderedPageBreak/>
        <w:t>§</w:t>
      </w:r>
      <w:r w:rsidR="002B479D" w:rsidRPr="00FD7D14">
        <w:rPr>
          <w:color w:val="000000" w:themeColor="text1"/>
        </w:rPr>
        <w:t xml:space="preserve"> </w:t>
      </w:r>
      <w:r w:rsidR="007352F6" w:rsidRPr="00FD7D14">
        <w:rPr>
          <w:color w:val="000000" w:themeColor="text1"/>
        </w:rPr>
        <w:t>2</w:t>
      </w:r>
      <w:r w:rsidR="003207F5" w:rsidRPr="00FD7D14">
        <w:rPr>
          <w:color w:val="000000" w:themeColor="text1"/>
        </w:rPr>
        <w:t>.</w:t>
      </w:r>
    </w:p>
    <w:p w14:paraId="508B2370" w14:textId="77777777" w:rsidR="003207F5" w:rsidRPr="00FD7D14" w:rsidRDefault="003207F5" w:rsidP="00943061">
      <w:pPr>
        <w:keepNext/>
        <w:spacing w:before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FD7D14">
        <w:rPr>
          <w:rFonts w:ascii="Calibri" w:hAnsi="Calibri" w:cs="Times New Roman"/>
          <w:color w:val="000000" w:themeColor="text1"/>
          <w:sz w:val="24"/>
          <w:szCs w:val="24"/>
        </w:rPr>
        <w:t>Zarządzenie wchodzi w życie z dniem podpisania.</w:t>
      </w:r>
    </w:p>
    <w:p w14:paraId="4F534888" w14:textId="77777777" w:rsidR="007207FB" w:rsidRPr="00943061" w:rsidRDefault="007207FB" w:rsidP="00943061">
      <w:pPr>
        <w:pStyle w:val="Tekstpodstawowy"/>
        <w:keepNext/>
        <w:spacing w:after="720" w:line="360" w:lineRule="auto"/>
        <w:ind w:left="4536"/>
        <w:jc w:val="center"/>
        <w:rPr>
          <w:rFonts w:ascii="Calibri" w:hAnsi="Calibri"/>
          <w:szCs w:val="24"/>
        </w:rPr>
      </w:pPr>
      <w:r w:rsidRPr="00943061">
        <w:rPr>
          <w:rFonts w:ascii="Calibri" w:hAnsi="Calibri"/>
          <w:szCs w:val="24"/>
        </w:rPr>
        <w:t>W zastępstwie Rektora</w:t>
      </w:r>
    </w:p>
    <w:p w14:paraId="0D019947" w14:textId="04F699BD" w:rsidR="000F765C" w:rsidRPr="00943061" w:rsidRDefault="007207FB" w:rsidP="00943061">
      <w:pPr>
        <w:pStyle w:val="Tekstpodstawowy"/>
        <w:keepNext/>
        <w:spacing w:line="360" w:lineRule="auto"/>
        <w:ind w:left="4536"/>
        <w:jc w:val="center"/>
        <w:rPr>
          <w:rFonts w:ascii="Calibri" w:hAnsi="Calibri"/>
          <w:szCs w:val="24"/>
        </w:rPr>
      </w:pPr>
      <w:r w:rsidRPr="00943061">
        <w:rPr>
          <w:rFonts w:ascii="Calibri" w:hAnsi="Calibri"/>
          <w:szCs w:val="24"/>
        </w:rPr>
        <w:t>prof. dr hab. inż. Stefan Domek</w:t>
      </w:r>
      <w:r w:rsidR="00943061">
        <w:rPr>
          <w:rFonts w:ascii="Calibri" w:hAnsi="Calibri"/>
          <w:szCs w:val="24"/>
        </w:rPr>
        <w:br/>
      </w:r>
      <w:r w:rsidRPr="00943061">
        <w:rPr>
          <w:rFonts w:ascii="Calibri" w:hAnsi="Calibri"/>
          <w:szCs w:val="24"/>
        </w:rPr>
        <w:t>prorektor ds. organizacji i rozwoju uczelni</w:t>
      </w:r>
    </w:p>
    <w:sectPr w:rsidR="000F765C" w:rsidRPr="00943061" w:rsidSect="00E80C5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073"/>
    <w:multiLevelType w:val="multilevel"/>
    <w:tmpl w:val="F2787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3F5DC9"/>
    <w:multiLevelType w:val="multilevel"/>
    <w:tmpl w:val="4B4C257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87588"/>
    <w:multiLevelType w:val="multilevel"/>
    <w:tmpl w:val="18C81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11096F"/>
    <w:multiLevelType w:val="hybridMultilevel"/>
    <w:tmpl w:val="313C1FA4"/>
    <w:lvl w:ilvl="0" w:tplc="57C6D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CC74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A0DC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EC80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90B4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AAD0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0871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C067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EE03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A27D4"/>
    <w:multiLevelType w:val="multilevel"/>
    <w:tmpl w:val="7AE2D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574A36"/>
    <w:multiLevelType w:val="hybridMultilevel"/>
    <w:tmpl w:val="5D121634"/>
    <w:lvl w:ilvl="0" w:tplc="2056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E0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227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5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65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AF3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62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040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EF8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207247"/>
    <w:multiLevelType w:val="hybridMultilevel"/>
    <w:tmpl w:val="3348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14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8F2C48"/>
    <w:multiLevelType w:val="multilevel"/>
    <w:tmpl w:val="F8544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C8169D"/>
    <w:multiLevelType w:val="hybridMultilevel"/>
    <w:tmpl w:val="974C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1123"/>
    <w:multiLevelType w:val="hybridMultilevel"/>
    <w:tmpl w:val="C7F80ED6"/>
    <w:lvl w:ilvl="0" w:tplc="04150013">
      <w:start w:val="1"/>
      <w:numFmt w:val="upperRoman"/>
      <w:lvlText w:val="%1."/>
      <w:lvlJc w:val="right"/>
      <w:pPr>
        <w:ind w:left="78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25E67"/>
    <w:multiLevelType w:val="hybridMultilevel"/>
    <w:tmpl w:val="B0C06CD4"/>
    <w:lvl w:ilvl="0" w:tplc="303E1A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B4FD2"/>
    <w:multiLevelType w:val="hybridMultilevel"/>
    <w:tmpl w:val="04E63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89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8E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C6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47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27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E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604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4E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B744A7"/>
    <w:multiLevelType w:val="hybridMultilevel"/>
    <w:tmpl w:val="ED56BB28"/>
    <w:lvl w:ilvl="0" w:tplc="97D40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FA84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06B6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9218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128C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B4C8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A0DB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1820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4402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5EA0"/>
    <w:multiLevelType w:val="hybridMultilevel"/>
    <w:tmpl w:val="A9943228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A73C2"/>
    <w:multiLevelType w:val="hybridMultilevel"/>
    <w:tmpl w:val="60669E0C"/>
    <w:lvl w:ilvl="0" w:tplc="A36C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D2DF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60A8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8C75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2C47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2C24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7459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D4E8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7A15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51FC0"/>
    <w:multiLevelType w:val="multilevel"/>
    <w:tmpl w:val="83942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476AD4"/>
    <w:multiLevelType w:val="hybridMultilevel"/>
    <w:tmpl w:val="3D94B2E2"/>
    <w:lvl w:ilvl="0" w:tplc="20DC0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89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8E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C6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47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27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E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604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4E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3AE5194"/>
    <w:multiLevelType w:val="hybridMultilevel"/>
    <w:tmpl w:val="E2E2ABE2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A2F9D"/>
    <w:multiLevelType w:val="multilevel"/>
    <w:tmpl w:val="B0424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9F7637"/>
    <w:multiLevelType w:val="multilevel"/>
    <w:tmpl w:val="0F547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4714F6"/>
    <w:multiLevelType w:val="hybridMultilevel"/>
    <w:tmpl w:val="8E2A7560"/>
    <w:lvl w:ilvl="0" w:tplc="4C46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456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20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E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68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142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AE5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A2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1A376C"/>
    <w:multiLevelType w:val="hybridMultilevel"/>
    <w:tmpl w:val="DFF0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938B2"/>
    <w:multiLevelType w:val="hybridMultilevel"/>
    <w:tmpl w:val="66ECC8D0"/>
    <w:lvl w:ilvl="0" w:tplc="4950F6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CC5B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5C9C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FE09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DE7C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260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0EFF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6064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A8D3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76C04"/>
    <w:multiLevelType w:val="hybridMultilevel"/>
    <w:tmpl w:val="4FF26A38"/>
    <w:lvl w:ilvl="0" w:tplc="D21630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CC52E2"/>
    <w:multiLevelType w:val="hybridMultilevel"/>
    <w:tmpl w:val="FC143BCE"/>
    <w:lvl w:ilvl="0" w:tplc="CF0C9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E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022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68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49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67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8C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E1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AA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2A2AC8"/>
    <w:multiLevelType w:val="hybridMultilevel"/>
    <w:tmpl w:val="EBC43B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7"/>
  </w:num>
  <w:num w:numId="9">
    <w:abstractNumId w:val="19"/>
  </w:num>
  <w:num w:numId="10">
    <w:abstractNumId w:val="2"/>
  </w:num>
  <w:num w:numId="11">
    <w:abstractNumId w:val="20"/>
  </w:num>
  <w:num w:numId="12">
    <w:abstractNumId w:val="16"/>
  </w:num>
  <w:num w:numId="13">
    <w:abstractNumId w:val="0"/>
  </w:num>
  <w:num w:numId="14">
    <w:abstractNumId w:val="24"/>
  </w:num>
  <w:num w:numId="15">
    <w:abstractNumId w:val="11"/>
  </w:num>
  <w:num w:numId="16">
    <w:abstractNumId w:val="1"/>
  </w:num>
  <w:num w:numId="17">
    <w:abstractNumId w:val="26"/>
  </w:num>
  <w:num w:numId="18">
    <w:abstractNumId w:val="3"/>
  </w:num>
  <w:num w:numId="19">
    <w:abstractNumId w:val="23"/>
  </w:num>
  <w:num w:numId="20">
    <w:abstractNumId w:val="13"/>
  </w:num>
  <w:num w:numId="21">
    <w:abstractNumId w:val="8"/>
  </w:num>
  <w:num w:numId="22">
    <w:abstractNumId w:val="15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5D"/>
    <w:rsid w:val="000333F6"/>
    <w:rsid w:val="000D6BA7"/>
    <w:rsid w:val="000F5729"/>
    <w:rsid w:val="000F765C"/>
    <w:rsid w:val="00102DCA"/>
    <w:rsid w:val="0010331E"/>
    <w:rsid w:val="00103D21"/>
    <w:rsid w:val="001262BC"/>
    <w:rsid w:val="0014645D"/>
    <w:rsid w:val="00157772"/>
    <w:rsid w:val="00171692"/>
    <w:rsid w:val="00193BBA"/>
    <w:rsid w:val="001E55A6"/>
    <w:rsid w:val="001F6BF5"/>
    <w:rsid w:val="002A32E1"/>
    <w:rsid w:val="002B479D"/>
    <w:rsid w:val="002F20D2"/>
    <w:rsid w:val="002F7F16"/>
    <w:rsid w:val="003120EF"/>
    <w:rsid w:val="00317A6D"/>
    <w:rsid w:val="003207F5"/>
    <w:rsid w:val="00342BB4"/>
    <w:rsid w:val="0035288B"/>
    <w:rsid w:val="00355823"/>
    <w:rsid w:val="003572B6"/>
    <w:rsid w:val="00380327"/>
    <w:rsid w:val="00392932"/>
    <w:rsid w:val="003C0365"/>
    <w:rsid w:val="003C17F3"/>
    <w:rsid w:val="003D137B"/>
    <w:rsid w:val="003F5570"/>
    <w:rsid w:val="00400F54"/>
    <w:rsid w:val="00405E03"/>
    <w:rsid w:val="00432398"/>
    <w:rsid w:val="00450658"/>
    <w:rsid w:val="00452871"/>
    <w:rsid w:val="00480537"/>
    <w:rsid w:val="004A1AFF"/>
    <w:rsid w:val="004D0E9F"/>
    <w:rsid w:val="004D337B"/>
    <w:rsid w:val="004D428E"/>
    <w:rsid w:val="004D720E"/>
    <w:rsid w:val="00545415"/>
    <w:rsid w:val="00590929"/>
    <w:rsid w:val="00594028"/>
    <w:rsid w:val="006640E9"/>
    <w:rsid w:val="00672E3E"/>
    <w:rsid w:val="006D7C2A"/>
    <w:rsid w:val="00701515"/>
    <w:rsid w:val="007068C7"/>
    <w:rsid w:val="00716DBE"/>
    <w:rsid w:val="007207FB"/>
    <w:rsid w:val="00721760"/>
    <w:rsid w:val="007352F6"/>
    <w:rsid w:val="0073681B"/>
    <w:rsid w:val="007466A5"/>
    <w:rsid w:val="00751D26"/>
    <w:rsid w:val="0076491B"/>
    <w:rsid w:val="00771196"/>
    <w:rsid w:val="007D03C2"/>
    <w:rsid w:val="007E08EB"/>
    <w:rsid w:val="00801DFF"/>
    <w:rsid w:val="00830D0D"/>
    <w:rsid w:val="008736A9"/>
    <w:rsid w:val="008767F3"/>
    <w:rsid w:val="00891E37"/>
    <w:rsid w:val="0089479A"/>
    <w:rsid w:val="008A3074"/>
    <w:rsid w:val="008B3AC2"/>
    <w:rsid w:val="008B70B6"/>
    <w:rsid w:val="008D4B35"/>
    <w:rsid w:val="008E1E6B"/>
    <w:rsid w:val="0093159E"/>
    <w:rsid w:val="00943061"/>
    <w:rsid w:val="00971483"/>
    <w:rsid w:val="00981D27"/>
    <w:rsid w:val="009C3EBF"/>
    <w:rsid w:val="009D35EB"/>
    <w:rsid w:val="009E2773"/>
    <w:rsid w:val="00A23226"/>
    <w:rsid w:val="00A34BB8"/>
    <w:rsid w:val="00A567A3"/>
    <w:rsid w:val="00B04770"/>
    <w:rsid w:val="00B06689"/>
    <w:rsid w:val="00B628A7"/>
    <w:rsid w:val="00B678AD"/>
    <w:rsid w:val="00BB6E41"/>
    <w:rsid w:val="00BE6D37"/>
    <w:rsid w:val="00C13123"/>
    <w:rsid w:val="00C5099A"/>
    <w:rsid w:val="00C566A5"/>
    <w:rsid w:val="00C60046"/>
    <w:rsid w:val="00C636C0"/>
    <w:rsid w:val="00C6371E"/>
    <w:rsid w:val="00C72C3E"/>
    <w:rsid w:val="00C73B03"/>
    <w:rsid w:val="00CC10B9"/>
    <w:rsid w:val="00CC151E"/>
    <w:rsid w:val="00CF4F83"/>
    <w:rsid w:val="00D032D0"/>
    <w:rsid w:val="00D07589"/>
    <w:rsid w:val="00D164A8"/>
    <w:rsid w:val="00D652AC"/>
    <w:rsid w:val="00D66180"/>
    <w:rsid w:val="00D84806"/>
    <w:rsid w:val="00D97748"/>
    <w:rsid w:val="00DA2383"/>
    <w:rsid w:val="00DB170A"/>
    <w:rsid w:val="00DD707F"/>
    <w:rsid w:val="00E049CE"/>
    <w:rsid w:val="00E208A2"/>
    <w:rsid w:val="00E44259"/>
    <w:rsid w:val="00E4669A"/>
    <w:rsid w:val="00E80C50"/>
    <w:rsid w:val="00E81D7A"/>
    <w:rsid w:val="00E878C8"/>
    <w:rsid w:val="00EC0EDA"/>
    <w:rsid w:val="00EC5E5B"/>
    <w:rsid w:val="00ED3D9A"/>
    <w:rsid w:val="00F1238A"/>
    <w:rsid w:val="00F26B3E"/>
    <w:rsid w:val="00F36DF7"/>
    <w:rsid w:val="00F53B6B"/>
    <w:rsid w:val="00F92F75"/>
    <w:rsid w:val="00FA0381"/>
    <w:rsid w:val="00FC01E3"/>
    <w:rsid w:val="00FD7D14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7B09"/>
  <w15:docId w15:val="{8F50A67D-9A35-4895-B7E5-6C89C73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3061"/>
    <w:pPr>
      <w:spacing w:before="0" w:line="360" w:lineRule="auto"/>
      <w:jc w:val="center"/>
      <w:outlineLvl w:val="1"/>
    </w:pPr>
    <w:rPr>
      <w:rFonts w:ascii="Calibri" w:hAnsi="Calibri" w:cs="Times New Roman"/>
      <w:b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5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5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8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0C50"/>
    <w:pPr>
      <w:spacing w:befor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C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3061"/>
    <w:rPr>
      <w:rFonts w:ascii="Calibri" w:hAnsi="Calibri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59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19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56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8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2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688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04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485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787">
          <w:marLeft w:val="136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878">
          <w:marLeft w:val="136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004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668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079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072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0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20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277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104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633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F4DE-AF2C-4B2D-822F-801F8FC4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 Rektora ZUT w Szczecinie z dnia 23 lipca 2018 r. zmieniające zarządzenie nr 44 Rektora ZUT z dnia 16 lipca 2017 r. w sprawie zasad finansowania i uruchamiania inwestycji budowlanych w Zachodniopomorskim Uniwersytecie Technologicznym w Sz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 Rektora ZUT w Szczecinie z dnia 23 lipca 2018 r. zmieniające zarządzenie nr 44 Rektora ZUT z dnia 16 lipca 2017 r. w sprawie zasad finansowania i uruchamiania inwestycji budowlanych w Zachodniopomorskim Uniwersytecie Technologicznym w Szczecinie</dc:title>
  <dc:creator>Rev</dc:creator>
  <cp:lastModifiedBy>Marta Buśko</cp:lastModifiedBy>
  <cp:revision>8</cp:revision>
  <cp:lastPrinted>2020-10-09T08:41:00Z</cp:lastPrinted>
  <dcterms:created xsi:type="dcterms:W3CDTF">2020-10-09T08:29:00Z</dcterms:created>
  <dcterms:modified xsi:type="dcterms:W3CDTF">2021-10-21T10:33:00Z</dcterms:modified>
</cp:coreProperties>
</file>